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424(b)(5)</w: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Registration No. 333-277951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Prospectus Dated April 25, 2024)</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Up to $135,000,000</w:t>
      </w:r>
    </w:p>
    <w:p>
      <w:pPr>
        <w:pStyle w:val="TextBody"/>
        <w:bidi w:val="0"/>
        <w:spacing w:before="0" w:after="180"/>
        <w:jc w:val="center"/>
        <w:rPr/>
      </w:pPr>
      <w:r>
        <w:rPr/>
        <w:drawing>
          <wp:inline distT="0" distB="0" distL="0" distR="0">
            <wp:extent cx="2371725"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58102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entered into a sales agreement with TD Securities (USA) LLC (TD Cowen), dated as of November 5, 2019, as amended on November 2, 2022 and November 2, 2023 (as amended, the sales agreement), relating to shares of our common stock offered by this prospectus supplement and accompanying prospectus. In accordance with the terms of the sales agreement, we may offer and sell shares of our common stock under this prospectus supplement and accompanying prospectus from time to time through TD Cowen acting as our agent.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(Nasdaq) under the symbol “ALLO.” On June 18, 2026, the last reported sale price of our common stock was $2.00 per share.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terms and conditions of the sales agreement, TD Cowen may sell the common stock by any methods deemed to be an “at the market offering” as defined in Rule 415(a)(4) promulgated under the Securities Act of 1933, as amended (the Securities Act). TD Cowen is not required to sell any specific amount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compensation to TD Cowen for sales of common stock sold pursuant to the sales agreement will be an amount up to 3.0% of the gross proceeds of any shares of common stock sold under the sales agreement. In connection with the sale of the common stock on our behalf, TD Cowen will be deemed to be an “underwriter” within the meaning of the Securities Act and the compensation of TD Cowen will be deemed to be underwriting commissions or discounts. We have agreed to reimburse TD Cowen for certain of its out-of-pocket expenses. We have also agreed to provide indemnification and contribution to TD Cowen with respect to certain liabilities, including liabilities under the Securities Act or the Securities Exchange Act of 1934, as amended (the Exchange Act).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color w:val="000000"/>
          <w:sz w:val="20"/>
        </w:rPr>
        <w:t>Investing in our common stock involves a high degree of risk. See “</w:t>
      </w:r>
      <w:hyperlink w:anchor="i8bd582a85bdd4c388a603007f61ff528_16">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beginning on page </w:t>
      </w:r>
      <w:hyperlink w:anchor="i8bd582a85bdd4c388a603007f61ff528_16">
        <w:r>
          <w:rPr>
            <w:rStyle w:val="InternetLink"/>
            <w:rFonts w:ascii="Times New Roman;serif" w:hAnsi="Times New Roman;serif"/>
            <w:b/>
            <w:color w:val="0000FF"/>
            <w:sz w:val="20"/>
            <w:u w:val="single"/>
          </w:rPr>
          <w:t>S-4</w:t>
        </w:r>
      </w:hyperlink>
      <w:r>
        <w:rPr>
          <w:color w:val="000000"/>
        </w:rPr>
        <w:t xml:space="preserve"> </w:t>
      </w:r>
      <w:r>
        <w:rPr>
          <w:rFonts w:ascii="Times New Roman;serif" w:hAnsi="Times New Roman;serif"/>
          <w:b/>
          <w:color w:val="000000"/>
          <w:sz w:val="20"/>
        </w:rPr>
        <w:t xml:space="preserve">of this prospectus supplement and in the documents incorporated by reference into this prospectus supplement and the accompanying prospectus before investing in our common stock.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453" w:type="dxa"/>
        <w:jc w:val="left"/>
        <w:tblInd w:w="0" w:type="dxa"/>
        <w:tblLayout w:type="fixed"/>
        <w:tblCellMar>
          <w:top w:w="28" w:type="dxa"/>
          <w:left w:w="28" w:type="dxa"/>
          <w:bottom w:w="28" w:type="dxa"/>
          <w:right w:w="28" w:type="dxa"/>
        </w:tblCellMar>
      </w:tblPr>
      <w:tblGrid>
        <w:gridCol w:w="124"/>
        <w:gridCol w:w="109"/>
        <w:gridCol w:w="109"/>
        <w:gridCol w:w="579"/>
        <w:gridCol w:w="579"/>
        <w:gridCol w:w="5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TD Cowen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June 22,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 Supplement</w:t>
      </w:r>
    </w:p>
    <w:tbl>
      <w:tblPr>
        <w:tblW w:w="6375" w:type="dxa"/>
        <w:jc w:val="left"/>
        <w:tblInd w:w="0" w:type="dxa"/>
        <w:tblLayout w:type="fixed"/>
        <w:tblCellMar>
          <w:top w:w="28" w:type="dxa"/>
          <w:left w:w="28" w:type="dxa"/>
          <w:bottom w:w="28" w:type="dxa"/>
          <w:right w:w="28" w:type="dxa"/>
        </w:tblCellMar>
      </w:tblPr>
      <w:tblGrid>
        <w:gridCol w:w="2121"/>
        <w:gridCol w:w="1859"/>
        <w:gridCol w:w="1870"/>
        <w:gridCol w:w="153"/>
        <w:gridCol w:w="153"/>
        <w:gridCol w:w="219"/>
      </w:tblGrid>
      <w:tr>
        <w:trPr/>
        <w:tc>
          <w:tcPr>
            <w:tcW w:w="212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7">
              <w:r>
                <w:rPr>
                  <w:rStyle w:val="InternetLink"/>
                  <w:rFonts w:ascii="Times New Roman;serif" w:hAnsi="Times New Roman;serif"/>
                  <w:b w:val="false"/>
                  <w:color w:val="0000FF"/>
                  <w:sz w:val="20"/>
                  <w:u w:val="single"/>
                </w:rPr>
                <w:t>ABOUT THIS PROSPECTUS SUPPLEMENT</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7">
              <w:r>
                <w:rPr>
                  <w:rStyle w:val="InternetLink"/>
                  <w:rFonts w:ascii="Times New Roman;serif" w:hAnsi="Times New Roman;serif"/>
                  <w:b w:val="false"/>
                  <w:color w:val="0000FF"/>
                  <w:sz w:val="20"/>
                  <w:u w:val="single"/>
                </w:rPr>
                <w:t>S-1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10">
              <w:r>
                <w:rPr>
                  <w:rStyle w:val="InternetLink"/>
                  <w:rFonts w:ascii="Times New Roman;serif" w:hAnsi="Times New Roman;serif"/>
                  <w:b w:val="false"/>
                  <w:color w:val="0000FF"/>
                  <w:sz w:val="20"/>
                  <w:u w:val="singl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10">
              <w:r>
                <w:rPr>
                  <w:rStyle w:val="InternetLink"/>
                  <w:rFonts w:ascii="Times New Roman;serif" w:hAnsi="Times New Roman;serif"/>
                  <w:b w:val="false"/>
                  <w:color w:val="0000FF"/>
                  <w:sz w:val="20"/>
                  <w:u w:val="single"/>
                </w:rPr>
                <w:t>S-2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13">
              <w:r>
                <w:rPr>
                  <w:rStyle w:val="InternetLink"/>
                  <w:rFonts w:ascii="Times New Roman;serif" w:hAnsi="Times New Roman;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13">
              <w:r>
                <w:rPr>
                  <w:rStyle w:val="InternetLink"/>
                  <w:rFonts w:ascii="Times New Roman;serif" w:hAnsi="Times New Roman;serif"/>
                  <w:b w:val="false"/>
                  <w:color w:val="0000FF"/>
                  <w:sz w:val="20"/>
                  <w:u w:val="single"/>
                </w:rPr>
                <w:t>S-3</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16">
              <w:r>
                <w:rPr>
                  <w:rStyle w:val="InternetLink"/>
                  <w:rFonts w:ascii="Times New Roman;serif" w:hAnsi="Times New Roman;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16">
              <w:r>
                <w:rPr>
                  <w:rStyle w:val="InternetLink"/>
                  <w:rFonts w:ascii="Times New Roman;serif" w:hAnsi="Times New Roman;serif"/>
                  <w:b w:val="false"/>
                  <w:color w:val="0000FF"/>
                  <w:sz w:val="20"/>
                  <w:u w:val="single"/>
                </w:rPr>
                <w:t>S-4</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19">
              <w:r>
                <w:rPr>
                  <w:rStyle w:val="InternetLink"/>
                  <w:rFonts w:ascii="Times New Roman;serif" w:hAnsi="Times New Roman;serif"/>
                  <w:b w:val="false"/>
                  <w:color w:val="0000FF"/>
                  <w:sz w:val="20"/>
                  <w:u w:val="single"/>
                </w:rPr>
                <w:t>SPECIAL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19">
              <w:r>
                <w:rPr>
                  <w:rStyle w:val="InternetLink"/>
                  <w:rFonts w:ascii="Times New Roman;serif" w:hAnsi="Times New Roman;serif"/>
                  <w:b w:val="false"/>
                  <w:color w:val="0000FF"/>
                  <w:sz w:val="20"/>
                  <w:u w:val="single"/>
                </w:rPr>
                <w:t>S-6</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22">
              <w:r>
                <w:rPr>
                  <w:rStyle w:val="InternetLink"/>
                  <w:rFonts w:ascii="Times New Roman;serif" w:hAnsi="Times New Roman;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22">
              <w:r>
                <w:rPr>
                  <w:rStyle w:val="InternetLink"/>
                  <w:rFonts w:ascii="Times New Roman;serif" w:hAnsi="Times New Roman;serif"/>
                  <w:b w:val="false"/>
                  <w:color w:val="0000FF"/>
                  <w:sz w:val="20"/>
                  <w:u w:val="single"/>
                </w:rPr>
                <w:t>S-8</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25">
              <w:r>
                <w:rPr>
                  <w:rStyle w:val="InternetLink"/>
                  <w:rFonts w:ascii="Times New Roman;serif" w:hAnsi="Times New Roman;serif"/>
                  <w:b w:val="false"/>
                  <w:color w:val="0000FF"/>
                  <w:sz w:val="20"/>
                  <w:u w:val="single"/>
                </w:rPr>
                <w:t>DILUTION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25">
              <w:r>
                <w:rPr>
                  <w:rStyle w:val="InternetLink"/>
                  <w:rFonts w:ascii="Times New Roman;serif" w:hAnsi="Times New Roman;serif"/>
                  <w:b w:val="false"/>
                  <w:color w:val="0000FF"/>
                  <w:sz w:val="20"/>
                  <w:u w:val="single"/>
                </w:rPr>
                <w:t>S-9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28">
              <w:r>
                <w:rPr>
                  <w:rStyle w:val="InternetLink"/>
                  <w:rFonts w:ascii="Times New Roman;serif" w:hAnsi="Times New Roman;serif"/>
                  <w:b w:val="false"/>
                  <w:color w:val="0000FF"/>
                  <w:sz w:val="20"/>
                  <w:u w:val="single"/>
                </w:rPr>
                <w:t>PLAN OF DISTRIBUTION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28">
              <w:r>
                <w:rPr>
                  <w:rStyle w:val="InternetLink"/>
                  <w:rFonts w:ascii="Times New Roman;serif" w:hAnsi="Times New Roman;serif"/>
                  <w:b w:val="false"/>
                  <w:color w:val="0000FF"/>
                  <w:sz w:val="20"/>
                  <w:u w:val="single"/>
                </w:rPr>
                <w:t>S-11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31">
              <w:r>
                <w:rPr>
                  <w:rStyle w:val="InternetLink"/>
                  <w:rFonts w:ascii="Times New Roman;serif" w:hAnsi="Times New Roman;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31">
              <w:r>
                <w:rPr>
                  <w:rStyle w:val="InternetLink"/>
                  <w:rFonts w:ascii="Times New Roman;serif" w:hAnsi="Times New Roman;serif"/>
                  <w:b w:val="false"/>
                  <w:color w:val="0000FF"/>
                  <w:sz w:val="20"/>
                  <w:u w:val="single"/>
                </w:rPr>
                <w:t>S-12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34">
              <w:r>
                <w:rPr>
                  <w:rStyle w:val="InternetLink"/>
                  <w:rFonts w:ascii="Times New Roman;serif" w:hAnsi="Times New Roman;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34">
              <w:r>
                <w:rPr>
                  <w:rStyle w:val="InternetLink"/>
                  <w:rFonts w:ascii="Times New Roman;serif" w:hAnsi="Times New Roman;serif"/>
                  <w:b w:val="false"/>
                  <w:color w:val="0000FF"/>
                  <w:sz w:val="20"/>
                  <w:u w:val="single"/>
                </w:rPr>
                <w:t>S-12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37">
              <w:r>
                <w:rPr>
                  <w:rStyle w:val="InternetLink"/>
                  <w:rFonts w:ascii="Times New Roman;serif" w:hAnsi="Times New Roman;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37">
              <w:r>
                <w:rPr>
                  <w:rStyle w:val="InternetLink"/>
                  <w:rFonts w:ascii="Times New Roman;serif" w:hAnsi="Times New Roman;serif"/>
                  <w:b w:val="false"/>
                  <w:color w:val="0000FF"/>
                  <w:sz w:val="20"/>
                  <w:u w:val="single"/>
                </w:rPr>
                <w:t>S-12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40">
              <w:r>
                <w:rPr>
                  <w:rStyle w:val="InternetLink"/>
                  <w:rFonts w:ascii="Times New Roman;serif" w:hAnsi="Times New Roman;serif"/>
                  <w:b w:val="false"/>
                  <w:color w:val="0000FF"/>
                  <w:sz w:val="20"/>
                  <w:u w:val="single"/>
                </w:rPr>
                <w:t>INCORPORATION OF CERTAIN INFORMATION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40">
              <w:r>
                <w:rPr>
                  <w:rStyle w:val="InternetLink"/>
                  <w:rFonts w:ascii="Times New Roman;serif" w:hAnsi="Times New Roman;serif"/>
                  <w:b w:val="false"/>
                  <w:color w:val="0000FF"/>
                  <w:sz w:val="20"/>
                  <w:u w:val="single"/>
                </w:rPr>
                <w:t>S-13</w:t>
              </w:r>
            </w:hyperlink>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w:t>
      </w:r>
    </w:p>
    <w:tbl>
      <w:tblPr>
        <w:tblW w:w="6361" w:type="dxa"/>
        <w:jc w:val="center"/>
        <w:tblInd w:w="0" w:type="dxa"/>
        <w:tblLayout w:type="fixed"/>
        <w:tblCellMar>
          <w:top w:w="28" w:type="dxa"/>
          <w:left w:w="28" w:type="dxa"/>
          <w:bottom w:w="28" w:type="dxa"/>
          <w:right w:w="28" w:type="dxa"/>
        </w:tblCellMar>
      </w:tblPr>
      <w:tblGrid>
        <w:gridCol w:w="2118"/>
        <w:gridCol w:w="1861"/>
        <w:gridCol w:w="1871"/>
        <w:gridCol w:w="149"/>
        <w:gridCol w:w="149"/>
        <w:gridCol w:w="213"/>
      </w:tblGrid>
      <w:tr>
        <w:trPr/>
        <w:tc>
          <w:tcPr>
            <w:tcW w:w="2118"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49">
              <w:r>
                <w:rPr>
                  <w:rStyle w:val="InternetLink"/>
                  <w:rFonts w:ascii="Times New Roman;serif" w:hAnsi="Times New Roman;serif"/>
                  <w:b w:val="false"/>
                  <w:color w:val="0000FF"/>
                  <w:sz w:val="20"/>
                  <w:u w:val="single"/>
                </w:rPr>
                <w:t>ABOUT THIS PROSPECTUS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49">
              <w:r>
                <w:rPr>
                  <w:rStyle w:val="InternetLink"/>
                  <w:rFonts w:ascii="Times New Roman;serif" w:hAnsi="Times New Roman;serif"/>
                  <w:b w:val="false"/>
                  <w:color w:val="0000FF"/>
                  <w:sz w:val="20"/>
                  <w:u w:val="single"/>
                </w:rPr>
                <w:t>ii</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52">
              <w:r>
                <w:rPr>
                  <w:rStyle w:val="InternetLink"/>
                  <w:rFonts w:ascii="Times New Roman;serif" w:hAnsi="Times New Roman;serif"/>
                  <w:b w:val="false"/>
                  <w:color w:val="0000FF"/>
                  <w:sz w:val="20"/>
                  <w:u w:val="single"/>
                </w:rPr>
                <w:t>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52">
              <w:r>
                <w:rPr>
                  <w:rStyle w:val="InternetLink"/>
                  <w:rFonts w:ascii="Times New Roman;serif" w:hAnsi="Times New Roman;serif"/>
                  <w:b w:val="false"/>
                  <w:color w:val="0000FF"/>
                  <w:sz w:val="20"/>
                  <w:u w:val="single"/>
                </w:rPr>
                <w:t>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55">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55">
              <w:r>
                <w:rPr>
                  <w:rStyle w:val="InternetLink"/>
                  <w:rFonts w:ascii="Times New Roman;serif" w:hAnsi="Times New Roman;serif"/>
                  <w:b w:val="false"/>
                  <w:color w:val="0000FF"/>
                  <w:sz w:val="20"/>
                  <w:u w:val="single"/>
                </w:rPr>
                <w:t>4</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58">
              <w:r>
                <w:rPr>
                  <w:rStyle w:val="InternetLink"/>
                  <w:rFonts w:ascii="Times New Roman;serif" w:hAnsi="Times New Roman;serif"/>
                  <w:b w:val="false"/>
                  <w:color w:val="0000FF"/>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58">
              <w:r>
                <w:rPr>
                  <w:rStyle w:val="InternetLink"/>
                  <w:rFonts w:ascii="Times New Roman;serif" w:hAnsi="Times New Roman;serif"/>
                  <w:b w:val="false"/>
                  <w:color w:val="0000FF"/>
                  <w:sz w:val="20"/>
                  <w:u w:val="single"/>
                </w:rPr>
                <w:t>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61">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61">
              <w:r>
                <w:rPr>
                  <w:rStyle w:val="InternetLink"/>
                  <w:rFonts w:ascii="Times New Roman;serif" w:hAnsi="Times New Roman;serif"/>
                  <w:b w:val="false"/>
                  <w:color w:val="0000FF"/>
                  <w:sz w:val="20"/>
                  <w:u w:val="single"/>
                </w:rPr>
                <w:t>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64">
              <w:r>
                <w:rPr>
                  <w:rStyle w:val="InternetLink"/>
                  <w:rFonts w:ascii="Times New Roman;serif" w:hAnsi="Times New Roman;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64">
              <w:r>
                <w:rPr>
                  <w:rStyle w:val="InternetLink"/>
                  <w:rFonts w:ascii="Times New Roman;serif" w:hAnsi="Times New Roman;serif"/>
                  <w:b w:val="false"/>
                  <w:color w:val="0000FF"/>
                  <w:sz w:val="20"/>
                  <w:u w:val="single"/>
                </w:rPr>
                <w:t>8</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67">
              <w:r>
                <w:rPr>
                  <w:rStyle w:val="InternetLink"/>
                  <w:rFonts w:ascii="Times New Roman;serif" w:hAnsi="Times New Roman;serif"/>
                  <w:b w:val="false"/>
                  <w:color w:val="0000FF"/>
                  <w:sz w:val="20"/>
                  <w:u w:val="singl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67">
              <w:r>
                <w:rPr>
                  <w:rStyle w:val="InternetLink"/>
                  <w:rFonts w:ascii="Times New Roman;serif" w:hAnsi="Times New Roman;serif"/>
                  <w:b w:val="false"/>
                  <w:color w:val="0000FF"/>
                  <w:sz w:val="20"/>
                  <w:u w:val="single"/>
                </w:rPr>
                <w:t>12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70">
              <w:r>
                <w:rPr>
                  <w:rStyle w:val="InternetLink"/>
                  <w:rFonts w:ascii="Times New Roman;serif" w:hAnsi="Times New Roman;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70">
              <w:r>
                <w:rPr>
                  <w:rStyle w:val="InternetLink"/>
                  <w:rFonts w:ascii="Times New Roman;serif" w:hAnsi="Times New Roman;serif"/>
                  <w:b w:val="false"/>
                  <w:color w:val="0000FF"/>
                  <w:sz w:val="20"/>
                  <w:u w:val="single"/>
                </w:rPr>
                <w:t>19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73">
              <w:r>
                <w:rPr>
                  <w:rStyle w:val="InternetLink"/>
                  <w:rFonts w:ascii="Times New Roman;serif" w:hAnsi="Times New Roman;serif"/>
                  <w:b w:val="false"/>
                  <w:color w:val="0000FF"/>
                  <w:sz w:val="20"/>
                  <w:u w:val="single"/>
                </w:rPr>
                <w:t>LEGAL OWNERSHIP OF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73">
              <w:r>
                <w:rPr>
                  <w:rStyle w:val="InternetLink"/>
                  <w:rFonts w:ascii="Times New Roman;serif" w:hAnsi="Times New Roman;serif"/>
                  <w:b w:val="false"/>
                  <w:color w:val="0000FF"/>
                  <w:sz w:val="20"/>
                  <w:u w:val="single"/>
                </w:rPr>
                <w:t>22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76">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76">
              <w:r>
                <w:rPr>
                  <w:rStyle w:val="InternetLink"/>
                  <w:rFonts w:ascii="Times New Roman;serif" w:hAnsi="Times New Roman;serif"/>
                  <w:b w:val="false"/>
                  <w:color w:val="0000FF"/>
                  <w:sz w:val="20"/>
                  <w:u w:val="single"/>
                </w:rPr>
                <w:t>25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79">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79">
              <w:r>
                <w:rPr>
                  <w:rStyle w:val="InternetLink"/>
                  <w:rFonts w:ascii="Times New Roman;serif" w:hAnsi="Times New Roman;serif"/>
                  <w:b w:val="false"/>
                  <w:color w:val="0000FF"/>
                  <w:sz w:val="20"/>
                  <w:u w:val="single"/>
                </w:rPr>
                <w:t>27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82">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82">
              <w:r>
                <w:rPr>
                  <w:rStyle w:val="InternetLink"/>
                  <w:rFonts w:ascii="Times New Roman;serif" w:hAnsi="Times New Roman;serif"/>
                  <w:b w:val="false"/>
                  <w:color w:val="0000FF"/>
                  <w:sz w:val="20"/>
                  <w:u w:val="single"/>
                </w:rPr>
                <w:t>27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85">
              <w:r>
                <w:rPr>
                  <w:rStyle w:val="InternetLink"/>
                  <w:rFonts w:ascii="Times New Roman;serif" w:hAnsi="Times New Roman;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85">
              <w:r>
                <w:rPr>
                  <w:rStyle w:val="InternetLink"/>
                  <w:rFonts w:ascii="Times New Roman;serif" w:hAnsi="Times New Roman;serif"/>
                  <w:b w:val="false"/>
                  <w:color w:val="0000FF"/>
                  <w:sz w:val="20"/>
                  <w:u w:val="single"/>
                </w:rPr>
                <w:t>27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88">
              <w:r>
                <w:rPr>
                  <w:rStyle w:val="InternetLink"/>
                  <w:rFonts w:ascii="Times New Roman;serif" w:hAnsi="Times New Roman;serif"/>
                  <w:b w:val="false"/>
                  <w:color w:val="0000FF"/>
                  <w:sz w:val="20"/>
                  <w:u w:val="single"/>
                </w:rPr>
                <w:t>INCORPORATION OF CERTAIN INFORMATION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88">
              <w:r>
                <w:rPr>
                  <w:rStyle w:val="InternetLink"/>
                  <w:rFonts w:ascii="Times New Roman;serif" w:hAnsi="Times New Roman;serif"/>
                  <w:b w:val="false"/>
                  <w:color w:val="0000FF"/>
                  <w:sz w:val="20"/>
                  <w:u w:val="singl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is part of a “shelf” registration statement on Form S-3 (File No. 333-277951) that we filed with the Securities and Exchange Commission (SEC) on March 14, 2024, which was declared effective on April 25, 2024. This document is in two parts. The first part is this prospectus supplement, which describes the terms of this offering of common stock and also adds to and updates information contained in the accompanying prospectus and the documents incorporated by reference into this prospectus supplement and the accompanying prospectus. The second part, the accompanying prospectus dated April 25, 2024, including the documents incorporated by reference therein, provides more general information. Generally, when we refer to this prospectus, we are referring to both parts of this document combined. To the extent there is a conflict between the information contained in this prospectus supplement, on the one hand, and the information contained in the accompanying prospectus or in any document incorporated by reference into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You should assume that the information contained in this prospectus supplement is accurate as of the date on the front cover of this prospectus supplement only and that any information we have incorporated by reference or included in the accompanying prospectus is accurate only as of the date given in the document incorporated by reference or as of the date of the prospectus, as applicable, regardless of the time of delivery of this prospectus supplement or the accompanying prospectus or any sale of our common stock. Our business, financial condition, results of operations and prospects may have changed since that date.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context indicates otherwise, as used in this prospectus supplement, the terms “Allogene,” “the Company,” “we,” “us” and “our” refer to Allogene Therapeutics, Inc.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the accompanying prospectus and the information incorporated herein and therein by reference may include trademarks, service marks and trade names owned by us or other companies. All trademarks, service marks and trade names included or incorporated by reference into this prospectus supplement or the accompanying prospectus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SUPPLEMENT SUMMARY</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This summary highlights certain information about us, this offering and selected information contained elsewhere in or incorporated by reference into this prospectus supplement and the accompanying prospectus. This summary does not contain all the information you should consider before investing in our common stock. You should read and consider carefully the more detailed information in this prospectus supplement and the accompanying prospectus, including the factors described under the heading “Risk Factors” in this prospectus supplement, and under similar headings in other documents that are incorporated by reference in this prospectus supplement and the accompanying prospectus, and the financial and other information incorporated by reference in this prospectus supplement and the accompanying prospectus, as well as the information included in any free writing prospectus that we have authorized for use in connection with this offering, before making an investment decision.</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Overview</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are a clinical stage immuno-oncology company pioneering the development of genetically engineered allogeneic T cell product candidates for the treatment of cancer and autoimmune diseases. We are developing a pipeline of “off-the-shelf” T cell product candidates that are designed to target and kill cancer cells in patients or eliminate pathogenic autoreactive cells in patients with autoimmune disorders. Our engineered T cells are allogeneic, meaning they are derived from healthy donors for intended use in any patient, rather than from an individual patient for that patient’s use, as in the case of autologous T cells. We believe this key difference will enable us to deliver readily available treatments faster, more reliably, at greater scale, and to more patients.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Recent Developments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On June 18, 2026, we filed a certificate of amendment with the Secretary of State of the State of Delaware to our amended and restated certificate of incorporation to increase the authorized shares of our common stock to 800,000,000, following approval by our stockholders at our 2026 annual meeting of stockholders.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Corporate Information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were incorporated in Delaware in November 2017. Our principal executive offices are located at 210 East Grand Avenue, South San Francisco, California 94080, and our telephone number is (650) 457-2700. Our corporate website address is www.allogene.com. Information contained on or accessible through our website is not part of this prospectus, and the inclusion of our website address in this prospectus is an inactive textual reference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OFFERING</w:t>
      </w:r>
    </w:p>
    <w:tbl>
      <w:tblPr>
        <w:tblW w:w="10205" w:type="dxa"/>
        <w:jc w:val="left"/>
        <w:tblInd w:w="0" w:type="dxa"/>
        <w:tblLayout w:type="fixed"/>
        <w:tblCellMar>
          <w:top w:w="28" w:type="dxa"/>
          <w:left w:w="28" w:type="dxa"/>
          <w:bottom w:w="28" w:type="dxa"/>
          <w:right w:w="28" w:type="dxa"/>
        </w:tblCellMar>
      </w:tblPr>
      <w:tblGrid>
        <w:gridCol w:w="632"/>
        <w:gridCol w:w="525"/>
        <w:gridCol w:w="529"/>
        <w:gridCol w:w="109"/>
        <w:gridCol w:w="109"/>
        <w:gridCol w:w="109"/>
        <w:gridCol w:w="2414"/>
        <w:gridCol w:w="2391"/>
        <w:gridCol w:w="3387"/>
      </w:tblGrid>
      <w:tr>
        <w:trPr/>
        <w:tc>
          <w:tcPr>
            <w:tcW w:w="632"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391" w:type="dxa"/>
            <w:tcBorders/>
            <w:vAlign w:val="center"/>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offered by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our common stock having an aggregate offering price of up to $135,000,000.</w:t>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to be outstanding after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Up to 67,500,000 shares (as more fully described in the notes following this table), assuming sales of $135,000,000 of shares of our common stock in this offering at an offering price of $2.00 per share, which was the last reported sale price of our common stock on Nasdaq on June 18, 2026. The actual number of shares issued will vary depending on the sales price under this offering.</w:t>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Manner of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At the market offering” that may be made from time to time through our sales agent, TD Cowen. See “Plan of Distribution.”</w:t>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intend to use the net proceeds from this offering for general corporate purposes, including clinical trial expenses, research and development expenses, general and administrative expenses, and capital expenditures. See “Use of Proceeds.”</w:t>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Investing in our common stock involves significant risks. See “</w:t>
            </w:r>
            <w:hyperlink w:anchor="i8bd582a85bdd4c388a603007f61ff528_16">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 xml:space="preserve">beginning on page </w:t>
            </w:r>
            <w:hyperlink w:anchor="i8bd582a85bdd4c388a603007f61ff528_16">
              <w:r>
                <w:rPr>
                  <w:rStyle w:val="InternetLink"/>
                  <w:rFonts w:ascii="Times New Roman;serif" w:hAnsi="Times New Roman;serif"/>
                  <w:b w:val="false"/>
                  <w:color w:val="0000FF"/>
                  <w:sz w:val="20"/>
                  <w:u w:val="single"/>
                </w:rPr>
                <w:t>S-4</w:t>
              </w:r>
            </w:hyperlink>
            <w:r>
              <w:rPr>
                <w:color w:val="000000"/>
              </w:rPr>
              <w:t xml:space="preserve"> </w:t>
            </w:r>
            <w:r>
              <w:rPr>
                <w:rFonts w:ascii="Times New Roman;serif" w:hAnsi="Times New Roman;serif"/>
                <w:b w:val="false"/>
                <w:color w:val="000000"/>
                <w:sz w:val="20"/>
              </w:rPr>
              <w:t>of this prospectus supplement, and under similar headings in other documents incorporated by reference into this prospectus supplement.</w:t>
            </w:r>
          </w:p>
        </w:tc>
      </w:tr>
      <w:tr>
        <w:trPr/>
        <w:tc>
          <w:tcPr>
            <w:tcW w:w="1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Nasdaq Global Select Market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ALLO”</w:t>
            </w:r>
          </w:p>
        </w:tc>
      </w:tr>
    </w:tbl>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number of shares to be outstanding after this offering is based on 244,816,413 shares of our common stock outstanding as of March 31, 2026, and excludes: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100,200,000 shares of our common stock issued on April 16, 2026 pursuant to an underwriting agreement, at a price of $2.00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37,916,047 shares of our common stock issuable upon the exercise of outstanding stock options as of March 31, 2026, at a weighted-average exercise price of $5.50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15,959,410 shares of our common stock issuable upon vesting and settlement of restricted stock units as of March 31, 2026, of which 238,500 shares are issuable to certain non-employee directors who have deferred receipt of vested restricted stock units until the earlier of the director’s separation from service or on the date of a change of control under Section 409A of the Internal Revenue Code;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8,964,856 shares of common stock authorized for future issuance under our 2018 equity incentive plan (2018 Plan) as of March 31, 2026, as well as any future annual automatic increases in the number of shares of our common stock authorized for issuance under the 2018 Plan;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10,945,445 shares of our common stock reserved for issuance under our 2018 employee stock purchase plan (ESPP) as of March 31, 2026, as well as any future annual automatic increases in the number of shares of our common stock authorized for issuance under the ESPP. </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 xml:space="preserve">Except as otherwise indicated, all information in this prospectus supplement assumes no exercise of the outstanding options or settlement of the outstanding restricted stock units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Our business, prospects, financial condition or operating results could be materially adversely affected by the risks identified below and in the documents incorporated by reference in this prospectus supplement and the accompanying prospectus, as well as other risks not currently known to us or that we currently consider immaterial. The trading price of our common stock could decline due to any of these risks, and you may lose all or part of your investment. You should consider carefully the risks described below and discussed in our Annual Report on Form 10-K for the year ended December 31, 2025, as updated by our quarterly, annual and other reports and documents that we have filed or subsequently file that are incorporated by reference in this prospectus supplement in its entirety. Please also read carefully the section below entitled “Special Note Regarding Forward-Looking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This Offering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you purchase shares of our common stock in this offering, you may experience immediate and substantial dilution in the net tangible book value of your shares. In addition, we may issue additional equity or convertible debt securities in the future, which may result in additional dilution to you.</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offering price per share in this offering may exceed the net tangible book value per share of our common stock outstanding prior to this offering. The prices at which we sell shares in this offering will vary and these variations may be significant. Purchasers of the shares we sell, as well as our existing stockholders, will experience significant dilution if we sell shares at prices significantly below the price at which they invested.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 See the section titled “Dilution” for an illustration of the dilution you may incur if you participate in this offering. In addition, the price per share at which we sell additional shares of our common stock or other securities convertible into or exchangeable for our common stock in future transactions may be higher or lower than the price per share in this offering.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management might apply the net proceeds from this offering in ways with which you do not agree and in ways that may impair the value of your investment.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intend to use the net proceeds from this offering for general corporate purposes, including clinical trial expenses, research and development expenses, general and administrative expenses, and capital expenditures. We may also use a portion of the net proceeds to in-license, invest in or acquire businesses, assets or technologies that we believe are complementary to our own, although we have no current plans, commitments or agreements with respect to any acquisitions. Pending the use of net proceeds, we intend to invest the net proceeds in investment-grade, interest-bearing instruments. Our management has broad discretion as to the use of these proceeds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net proceeds, it could compromise our ability to pursue our growth strategy and adversely affect the market price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actual number of shares we will issue under the sales agreement, at any one time or in total, is uncertain.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certain limitations in the sales agreement and compliance with applicable law, we have the discretion to deliver a placement notice to TD Cowen at any time throughout the term of the sales agreement. The number of shares that are sold by TD Cowen after delivering a placement notice will fluctuate based on the market price of the shares of common stock during the sales period and limits we set with TD Cowen. Because the price per share of each share sold will fluctuate based on the market price of our common stock during the sales period, it is not possible at this stage to predict the number of shares that will be ultimately issued.</w:t>
      </w: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common stock offered hereby will be sold in “at the market offerings,” and investors who purchase shares at different times will likely pay different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Investors who purchase shares in this offering at different times will likely pay different prices, and therefore may experience different outcomes in their investment results. We will have discretion, subject to market demand, to vary the timing, prices and number of shares sold. In addition, subject to any restrictions in any applicable placement notice delivered to TD Cowen, there is no minimum or maximum sales price for the shares to be sold in this offering. Investors may experience a decline in the value of their shares as a result of share sales made at prices lower than the prices they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Statements contained in this prospectus supplement, the accompanying prospectus and the documents incorporated by reference herein that are not strictly historical in nature are forward-looking statements within the meaning of Section 27A of the Securities Act, and within the meaning of Section 21E of the Exchange Act. These forward-looking statements are subject to the “safe harbor” created by Section 27A of the Securities Act and Section 21E of the Exchange Act and may include, but are not limited to, statements about: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cost, timing and potential indications of our product development activities and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of the initiation, enrollment and completion of planned clinical trials in the United States and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and maintain regulatory approval of our product candidates in any of the indications for which we plan to develop them, and any related restrictions, limitations, and/or warnings in the label of an approved product candidate;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funding for our operations, including funding necessary to complete the clinical trials of any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and plans to research, develop, manufacture and commercialize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attract and retain collaborators with development, regulatory and commercialization expertise;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size of the markets, commercial opportunities and patient populations for our product candidates, and our ability to serve those markets and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commercialize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rate and degree of market acceptance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and maintain sales and marketing capabilities, whether alone or with potential future collaborators;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developments in the United States and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contract with and the performance of our and our collaborators’ third-party suppliers and manufacturers;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and successfully operate our own manufacturing facility;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competing therapies that are or become available;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key scientific or management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accuracy of our estimates regarding expenses, future revenues, capital requirements and needs for additional financing;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use of cash and other resources, including our expected use of the net proceeds from this offering;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ability to obtain and maintain intellectual property protection for our product candidates and our ability to operate our business without infringing on the intellectual property rights of others.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some cases, you can identify forward-looking statements by terms such as “anticipates,” “believes,” “could,” “designed to,” “estimates,” “expects,” “goal,” “intends,” “may,” “plans,” “potential,” “predicts,” “projects,” “should,” “suggest,”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w:t>
      </w: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this prospectus supplement, the accompanying prospectus and the documents incorporated by reference herein or any free writing prospectus that we authorize for use in connection with this offering.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supplement, the accompanying prospectus and the documents incorporated by reference herein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common stock in this offering, you should carefully consider the risk factors discussed herein or incorporated by reference, in addition to the other information set forth in this prospectus supplement, the accompanying prospectus, any free writing prospectus we authorize for use in connection with this offering and the documents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and sell shares of our common stock under this prospectus supplement having aggregate sales proceeds of up to $135,000,000 from time to time. Because there is no minimum offering amount required as a condition of this offering, the actual total public offering amount, commissions and proceeds to us, if any, are not determinable at this time. There can be no assurance that we will sell any shares under or fully utilize the sales agreement with TD Cowen as a source of financing.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currently intend to use the net proceeds from this offering for general corporate purposes, including clinical trial expenses, research and development expenses, general and administrative expenses, and capital expenditures. We may also use a portion of the net proceeds to in-license, invest in or acquire businesses, assets or technologies that we believe are complementary to our own, although we have no current plans, commitments or agreements with respect to any acquisitions. As of the date of this prospectus supplement, we cannot specify with certainty all of the particular uses of the net proceeds from this offering. Accordingly, we will retain broad discretion over the use of such proceeds. Pending the use of the net proceeds from this offering, we intend to invest the net proceeds in investment-grade, interest-bearing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DILUTION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net tangible book value as of March 31, 2026 was $278.9 million, or $1.14 per share. Net tangible book value per share is determined by dividing our total tangible assets, less total liabilities, by the number of shares of our common stock outstanding as of March 31, 2026. Dilution with respect to net tangible book value per share represents the difference between the amount per share paid by purchasers of shares of common stock in this offering and the net tangible book value per share of our common stock immediately after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sale of 67,500,000 shares of our common stock in this offering at an assumed offering price of $2.00 per share, the last reported sale price of our common stock on Nasdaq on June 18, 2026, and after deducting offering commissions and estimated offering expenses payable by us, our as adjusted net tangible book value as of March 31, 2026 would have been $409.6 million, or $1.31 per share. This represents an immediate increase in net tangible book value of $0.17 per share to existing stockholders and immediate dilution of $0.69 per share to investors purchasing our common stock in this offering at the assumed public offering price. The following table illustrates this dilution on a per share basis:</w:t>
      </w:r>
    </w:p>
    <w:tbl>
      <w:tblPr>
        <w:tblW w:w="10205" w:type="dxa"/>
        <w:jc w:val="left"/>
        <w:tblInd w:w="0" w:type="dxa"/>
        <w:tblLayout w:type="fixed"/>
        <w:tblCellMar>
          <w:top w:w="28" w:type="dxa"/>
          <w:left w:w="28" w:type="dxa"/>
          <w:bottom w:w="28" w:type="dxa"/>
          <w:right w:w="28" w:type="dxa"/>
        </w:tblCellMar>
      </w:tblPr>
      <w:tblGrid>
        <w:gridCol w:w="2965"/>
        <w:gridCol w:w="2597"/>
        <w:gridCol w:w="2608"/>
        <w:gridCol w:w="211"/>
        <w:gridCol w:w="511"/>
        <w:gridCol w:w="109"/>
        <w:gridCol w:w="109"/>
        <w:gridCol w:w="109"/>
        <w:gridCol w:w="109"/>
        <w:gridCol w:w="211"/>
        <w:gridCol w:w="511"/>
        <w:gridCol w:w="155"/>
      </w:tblGrid>
      <w:tr>
        <w:trPr/>
        <w:tc>
          <w:tcPr>
            <w:tcW w:w="2965"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2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Assumed public offering price per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tangible book value per share of as March 31,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this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as of March 31, 2026, after giving effect to this offering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Dilution per share to investors purchasing our common stock in this offering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above discussion and table are based on 244,816,413 shares of our common stock outstanding as of March 31, 2026, and exclude: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100,200,000 shares of our common stock issued on April 16, 2026 pursuant to an underwriting agreement, at a price of $2.00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37,916,047 shares of our common stock issuable upon the exercise of outstanding stock options as of March 31, 2026, at a weighted-average exercise price of $5.50 per share;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15,959,410 shares of our common stock issuable upon vesting and settlement of restricted stock units as of March 31, 2026, of which 238,500 shares are issuable to certain non-employee directors who have deferred receipt of vested restricted stock units until the earlier of the director’s separation from service or on the date of a change of control under Section 409A of the Internal Revenue Code;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8,964,856 shares of common stock authorized for future issuance under our 2018 Plan as of March 31, 2026, as well as any future annual automatic increases in the number of shares of our common stock authorized for issuance under the 2018 Plan;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10,945,445 shares of our common stock reserved for issuance under our ESPP as of March 31, 2026, as well as any future annual automatic increases in the number of shares of our common stock authorized for issuance under the ESPP.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subject to the sales agreement with TD Cowen are being sold from time to time at various prices. An increase of $1.00 per share in the price at which the shares are sold from the assumed offering price of $2.00 per share shown in the table above, assuming all of our common stock in the aggregate amount of $135,000,000 under this prospectus supplement is sold at that price, would increase our adjusted net tangible book value per share after the offering to $1.41 per share and would increase the dilution in net tangible book value per share to new investors in this offering to $1.59 per share, after deducting commissions and estimated aggregate offering expenses payable by us. A decrease of $1.00 per share in the price at which the shares are sold from the assumed offering price of </w:t>
      </w: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rPr>
        <w:t>$2.00 per share shown in the table above, assuming all of our common stock in the aggregate amount of $135,000,000 under this prospectus supplement is sold at that price, would decrease our adjusted net tangible book value per share after the offering to $1.08 per share and there would be no dilution in net tangible book value per share to new investors in this offering, after deducting commissions and estimated aggregate offering expenses payable by us. The information is supplied for illustrative purposes only and assumes no exercise</w:t>
      </w:r>
      <w:r>
        <w:rPr>
          <w:color w:val="000000"/>
        </w:rPr>
        <w:t xml:space="preserve"> </w:t>
      </w:r>
      <w:r>
        <w:rPr>
          <w:rFonts w:ascii="Times New Roman;serif" w:hAnsi="Times New Roman;serif"/>
          <w:b w:val="false"/>
          <w:color w:val="000000"/>
          <w:sz w:val="20"/>
        </w:rPr>
        <w:t>of outstanding</w:t>
      </w:r>
      <w:r>
        <w:rPr>
          <w:color w:val="000000"/>
        </w:rPr>
        <w:t xml:space="preserve"> </w:t>
      </w:r>
      <w:r>
        <w:rPr>
          <w:rFonts w:ascii="Times New Roman;serif" w:hAnsi="Times New Roman;serif"/>
          <w:b w:val="false"/>
          <w:color w:val="000000"/>
          <w:sz w:val="20"/>
        </w:rPr>
        <w:t>options</w:t>
      </w:r>
      <w:r>
        <w:rPr>
          <w:color w:val="000000"/>
        </w:rPr>
        <w:t xml:space="preserve"> </w:t>
      </w:r>
      <w:r>
        <w:rPr>
          <w:rFonts w:ascii="Times New Roman;serif" w:hAnsi="Times New Roman;serif"/>
          <w:b w:val="false"/>
          <w:color w:val="000000"/>
          <w:sz w:val="20"/>
        </w:rPr>
        <w:t>or settlement of the outstanding restricted stock units described above.</w:t>
      </w:r>
    </w:p>
    <w:p>
      <w:pPr>
        <w:pStyle w:val="TextBody"/>
        <w:bidi w:val="0"/>
        <w:spacing w:lineRule="auto" w:line="288" w:before="0" w:after="180"/>
        <w:jc w:val="left"/>
        <w:rPr/>
      </w:pPr>
      <w:r>
        <w:rPr>
          <w:rFonts w:ascii="Times New Roman;serif" w:hAnsi="Times New Roman;serif"/>
          <w:b w:val="false"/>
          <w:color w:val="000000"/>
          <w:sz w:val="20"/>
        </w:rPr>
        <w:t>To the extent that options have been or may be exercised, restricted stock units settle</w:t>
      </w:r>
      <w:r>
        <w:rPr>
          <w:color w:val="000000"/>
        </w:rPr>
        <w:t xml:space="preserve"> </w:t>
      </w:r>
      <w:r>
        <w:rPr>
          <w:rFonts w:ascii="Times New Roman;serif" w:hAnsi="Times New Roman;serif"/>
          <w:b w:val="false"/>
          <w:color w:val="000000"/>
          <w:sz w:val="20"/>
        </w:rPr>
        <w:t>or other</w:t>
      </w:r>
      <w:r>
        <w:rPr>
          <w:color w:val="000000"/>
        </w:rPr>
        <w:t xml:space="preserve"> </w:t>
      </w:r>
      <w:r>
        <w:rPr>
          <w:rFonts w:ascii="Times New Roman;serif" w:hAnsi="Times New Roman;serif"/>
          <w:b w:val="false"/>
          <w:color w:val="000000"/>
          <w:sz w:val="20"/>
        </w:rPr>
        <w:t>shares</w:t>
      </w:r>
      <w:r>
        <w:rPr>
          <w:color w:val="000000"/>
        </w:rPr>
        <w:t xml:space="preserve"> </w:t>
      </w:r>
      <w:r>
        <w:rPr>
          <w:rFonts w:ascii="Times New Roman;serif" w:hAnsi="Times New Roman;serif"/>
          <w:b w:val="false"/>
          <w:color w:val="000000"/>
          <w:sz w:val="20"/>
        </w:rPr>
        <w:t>are issued,</w:t>
      </w:r>
      <w:r>
        <w:rPr>
          <w:color w:val="000000"/>
        </w:rPr>
        <w:t xml:space="preserve"> </w:t>
      </w:r>
      <w:r>
        <w:rPr>
          <w:rFonts w:ascii="Times New Roman;serif" w:hAnsi="Times New Roman;serif"/>
          <w:b w:val="false"/>
          <w:color w:val="000000"/>
          <w:sz w:val="20"/>
        </w:rPr>
        <w:t>investors</w:t>
      </w:r>
      <w:r>
        <w:rPr>
          <w:color w:val="000000"/>
        </w:rPr>
        <w:t xml:space="preserve"> </w:t>
      </w:r>
      <w:r>
        <w:rPr>
          <w:rFonts w:ascii="Times New Roman;serif" w:hAnsi="Times New Roman;serif"/>
          <w:b w:val="false"/>
          <w:color w:val="000000"/>
          <w:sz w:val="20"/>
        </w:rPr>
        <w:t>purchasing</w:t>
      </w:r>
      <w:r>
        <w:rPr>
          <w:color w:val="000000"/>
        </w:rPr>
        <w:t xml:space="preserve"> </w:t>
      </w:r>
      <w:r>
        <w:rPr>
          <w:rFonts w:ascii="Times New Roman;serif" w:hAnsi="Times New Roman;serif"/>
          <w:b w:val="false"/>
          <w:color w:val="000000"/>
          <w:sz w:val="20"/>
        </w:rPr>
        <w:t>our</w:t>
      </w:r>
      <w:r>
        <w:rPr>
          <w:color w:val="000000"/>
        </w:rPr>
        <w:t xml:space="preserve"> </w:t>
      </w:r>
      <w:r>
        <w:rPr>
          <w:rFonts w:ascii="Times New Roman;serif" w:hAnsi="Times New Roman;serif"/>
          <w:b w:val="false"/>
          <w:color w:val="000000"/>
          <w:sz w:val="20"/>
        </w:rPr>
        <w:t>common</w:t>
      </w:r>
      <w:r>
        <w:rPr>
          <w:color w:val="000000"/>
        </w:rPr>
        <w:t xml:space="preserve"> </w:t>
      </w:r>
      <w:r>
        <w:rPr>
          <w:rFonts w:ascii="Times New Roman;serif" w:hAnsi="Times New Roman;serif"/>
          <w:b w:val="false"/>
          <w:color w:val="000000"/>
          <w:sz w:val="20"/>
        </w:rPr>
        <w:t>stock</w:t>
      </w:r>
      <w:r>
        <w:rPr>
          <w:color w:val="000000"/>
        </w:rPr>
        <w:t xml:space="preserve"> </w:t>
      </w:r>
      <w:r>
        <w:rPr>
          <w:rFonts w:ascii="Times New Roman;serif" w:hAnsi="Times New Roman;serif"/>
          <w:b w:val="false"/>
          <w:color w:val="000000"/>
          <w:sz w:val="20"/>
        </w:rPr>
        <w:t>in</w:t>
      </w:r>
      <w:r>
        <w:rPr>
          <w:color w:val="000000"/>
        </w:rPr>
        <w:t xml:space="preserve"> </w:t>
      </w:r>
      <w:r>
        <w:rPr>
          <w:rFonts w:ascii="Times New Roman;serif" w:hAnsi="Times New Roman;serif"/>
          <w:b w:val="false"/>
          <w:color w:val="000000"/>
          <w:sz w:val="20"/>
        </w:rPr>
        <w:t>this</w:t>
      </w:r>
      <w:r>
        <w:rPr>
          <w:color w:val="000000"/>
        </w:rPr>
        <w:t xml:space="preserve"> </w:t>
      </w:r>
      <w:r>
        <w:rPr>
          <w:rFonts w:ascii="Times New Roman;serif" w:hAnsi="Times New Roman;serif"/>
          <w:b w:val="false"/>
          <w:color w:val="000000"/>
          <w:sz w:val="20"/>
        </w:rPr>
        <w:t>offering</w:t>
      </w:r>
      <w:r>
        <w:rPr>
          <w:color w:val="000000"/>
        </w:rPr>
        <w:t xml:space="preserve"> </w:t>
      </w:r>
      <w:r>
        <w:rPr>
          <w:rFonts w:ascii="Times New Roman;serif" w:hAnsi="Times New Roman;serif"/>
          <w:b w:val="false"/>
          <w:color w:val="000000"/>
          <w:sz w:val="20"/>
        </w:rPr>
        <w:t>may</w:t>
      </w:r>
      <w:r>
        <w:rPr>
          <w:color w:val="000000"/>
        </w:rPr>
        <w:t xml:space="preserve"> </w:t>
      </w:r>
      <w:r>
        <w:rPr>
          <w:rFonts w:ascii="Times New Roman;serif" w:hAnsi="Times New Roman;serif"/>
          <w:b w:val="false"/>
          <w:color w:val="000000"/>
          <w:sz w:val="20"/>
        </w:rPr>
        <w:t>experience</w:t>
      </w:r>
      <w:r>
        <w:rPr>
          <w:color w:val="000000"/>
        </w:rPr>
        <w:t xml:space="preserve"> </w:t>
      </w:r>
      <w:r>
        <w:rPr>
          <w:rFonts w:ascii="Times New Roman;serif" w:hAnsi="Times New Roman;serif"/>
          <w:b w:val="false"/>
          <w:color w:val="000000"/>
          <w:sz w:val="20"/>
        </w:rPr>
        <w:t>further</w:t>
      </w:r>
      <w:r>
        <w:rPr>
          <w:color w:val="000000"/>
        </w:rPr>
        <w:t xml:space="preserve"> </w:t>
      </w:r>
      <w:r>
        <w:rPr>
          <w:rFonts w:ascii="Times New Roman;serif" w:hAnsi="Times New Roman;serif"/>
          <w:b w:val="false"/>
          <w:color w:val="000000"/>
          <w:sz w:val="20"/>
        </w:rPr>
        <w:t>dilution.</w:t>
      </w:r>
      <w:r>
        <w:rPr>
          <w:color w:val="000000"/>
        </w:rPr>
        <w:t xml:space="preserve"> </w:t>
      </w:r>
      <w:r>
        <w:rPr>
          <w:rFonts w:ascii="Times New Roman;serif" w:hAnsi="Times New Roman;serif"/>
          <w:b w:val="false"/>
          <w:color w:val="000000"/>
          <w:sz w:val="20"/>
        </w:rPr>
        <w:t>In addition,</w:t>
      </w:r>
      <w:r>
        <w:rPr>
          <w:color w:val="000000"/>
        </w:rPr>
        <w:t xml:space="preserve"> </w:t>
      </w:r>
      <w:r>
        <w:rPr>
          <w:rFonts w:ascii="Times New Roman;serif" w:hAnsi="Times New Roman;serif"/>
          <w:b w:val="false"/>
          <w:color w:val="000000"/>
          <w:sz w:val="20"/>
        </w:rPr>
        <w:t>we may choose to raise additional</w:t>
      </w:r>
      <w:r>
        <w:rPr>
          <w:color w:val="000000"/>
        </w:rPr>
        <w:t xml:space="preserve"> </w:t>
      </w:r>
      <w:r>
        <w:rPr>
          <w:rFonts w:ascii="Times New Roman;serif" w:hAnsi="Times New Roman;serif"/>
          <w:b w:val="false"/>
          <w:color w:val="000000"/>
          <w:sz w:val="20"/>
        </w:rPr>
        <w:t>capital</w:t>
      </w:r>
      <w:r>
        <w:rPr>
          <w:color w:val="000000"/>
        </w:rPr>
        <w:t xml:space="preserve"> </w:t>
      </w:r>
      <w:r>
        <w:rPr>
          <w:rFonts w:ascii="Times New Roman;serif" w:hAnsi="Times New Roman;serif"/>
          <w:b w:val="false"/>
          <w:color w:val="000000"/>
          <w:sz w:val="20"/>
        </w:rPr>
        <w:t>due to market</w:t>
      </w:r>
      <w:r>
        <w:rPr>
          <w:color w:val="000000"/>
        </w:rPr>
        <w:t xml:space="preserve"> </w:t>
      </w:r>
      <w:r>
        <w:rPr>
          <w:rFonts w:ascii="Times New Roman;serif" w:hAnsi="Times New Roman;serif"/>
          <w:b w:val="false"/>
          <w:color w:val="000000"/>
          <w:sz w:val="20"/>
        </w:rPr>
        <w:t>conditions</w:t>
      </w:r>
      <w:r>
        <w:rPr>
          <w:color w:val="000000"/>
        </w:rPr>
        <w:t xml:space="preserve"> </w:t>
      </w:r>
      <w:r>
        <w:rPr>
          <w:rFonts w:ascii="Times New Roman;serif" w:hAnsi="Times New Roman;serif"/>
          <w:b w:val="false"/>
          <w:color w:val="000000"/>
          <w:sz w:val="20"/>
        </w:rPr>
        <w:t>or strategic</w:t>
      </w:r>
      <w:r>
        <w:rPr>
          <w:color w:val="000000"/>
        </w:rPr>
        <w:t xml:space="preserve"> </w:t>
      </w:r>
      <w:r>
        <w:rPr>
          <w:rFonts w:ascii="Times New Roman;serif" w:hAnsi="Times New Roman;serif"/>
          <w:b w:val="false"/>
          <w:color w:val="000000"/>
          <w:sz w:val="20"/>
        </w:rPr>
        <w:t>considerations</w:t>
      </w:r>
      <w:r>
        <w:rPr>
          <w:color w:val="000000"/>
        </w:rPr>
        <w:t xml:space="preserve"> </w:t>
      </w:r>
      <w:r>
        <w:rPr>
          <w:rFonts w:ascii="Times New Roman;serif" w:hAnsi="Times New Roman;serif"/>
          <w:b w:val="false"/>
          <w:color w:val="000000"/>
          <w:sz w:val="20"/>
        </w:rPr>
        <w:t>even if we</w:t>
      </w:r>
      <w:r>
        <w:rPr>
          <w:color w:val="000000"/>
        </w:rPr>
        <w:t xml:space="preserve"> </w:t>
      </w:r>
      <w:r>
        <w:rPr>
          <w:rFonts w:ascii="Times New Roman;serif" w:hAnsi="Times New Roman;serif"/>
          <w:b w:val="false"/>
          <w:color w:val="000000"/>
          <w:sz w:val="20"/>
        </w:rPr>
        <w:t>believe</w:t>
      </w:r>
      <w:r>
        <w:rPr>
          <w:color w:val="000000"/>
        </w:rPr>
        <w:t xml:space="preserve"> </w:t>
      </w:r>
      <w:r>
        <w:rPr>
          <w:rFonts w:ascii="Times New Roman;serif" w:hAnsi="Times New Roman;serif"/>
          <w:b w:val="false"/>
          <w:color w:val="000000"/>
          <w:sz w:val="20"/>
        </w:rPr>
        <w:t>we</w:t>
      </w:r>
      <w:r>
        <w:rPr>
          <w:color w:val="000000"/>
        </w:rPr>
        <w:t xml:space="preserve"> </w:t>
      </w:r>
      <w:r>
        <w:rPr>
          <w:rFonts w:ascii="Times New Roman;serif" w:hAnsi="Times New Roman;serif"/>
          <w:b w:val="false"/>
          <w:color w:val="000000"/>
          <w:sz w:val="20"/>
        </w:rPr>
        <w:t>have</w:t>
      </w:r>
      <w:r>
        <w:rPr>
          <w:color w:val="000000"/>
        </w:rPr>
        <w:t xml:space="preserve"> </w:t>
      </w:r>
      <w:r>
        <w:rPr>
          <w:rFonts w:ascii="Times New Roman;serif" w:hAnsi="Times New Roman;serif"/>
          <w:b w:val="false"/>
          <w:color w:val="000000"/>
          <w:sz w:val="20"/>
        </w:rPr>
        <w:t>sufficient</w:t>
      </w:r>
      <w:r>
        <w:rPr>
          <w:color w:val="000000"/>
        </w:rPr>
        <w:t xml:space="preserve"> </w:t>
      </w:r>
      <w:r>
        <w:rPr>
          <w:rFonts w:ascii="Times New Roman;serif" w:hAnsi="Times New Roman;serif"/>
          <w:b w:val="false"/>
          <w:color w:val="000000"/>
          <w:sz w:val="20"/>
        </w:rPr>
        <w:t>funds</w:t>
      </w:r>
      <w:r>
        <w:rPr>
          <w:color w:val="000000"/>
        </w:rPr>
        <w:t xml:space="preserve"> </w:t>
      </w:r>
      <w:r>
        <w:rPr>
          <w:rFonts w:ascii="Times New Roman;serif" w:hAnsi="Times New Roman;serif"/>
          <w:b w:val="false"/>
          <w:color w:val="000000"/>
          <w:sz w:val="20"/>
        </w:rPr>
        <w:t>for</w:t>
      </w:r>
      <w:r>
        <w:rPr>
          <w:color w:val="000000"/>
        </w:rPr>
        <w:t xml:space="preserve"> </w:t>
      </w:r>
      <w:r>
        <w:rPr>
          <w:rFonts w:ascii="Times New Roman;serif" w:hAnsi="Times New Roman;serif"/>
          <w:b w:val="false"/>
          <w:color w:val="000000"/>
          <w:sz w:val="20"/>
        </w:rPr>
        <w:t>our</w:t>
      </w:r>
      <w:r>
        <w:rPr>
          <w:color w:val="000000"/>
        </w:rPr>
        <w:t xml:space="preserve"> </w:t>
      </w:r>
      <w:r>
        <w:rPr>
          <w:rFonts w:ascii="Times New Roman;serif" w:hAnsi="Times New Roman;serif"/>
          <w:b w:val="false"/>
          <w:color w:val="000000"/>
          <w:sz w:val="20"/>
        </w:rPr>
        <w:t>current</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future</w:t>
      </w:r>
      <w:r>
        <w:rPr>
          <w:color w:val="000000"/>
        </w:rPr>
        <w:t xml:space="preserve"> </w:t>
      </w:r>
      <w:r>
        <w:rPr>
          <w:rFonts w:ascii="Times New Roman;serif" w:hAnsi="Times New Roman;serif"/>
          <w:b w:val="false"/>
          <w:color w:val="000000"/>
          <w:sz w:val="20"/>
        </w:rPr>
        <w:t>operating</w:t>
      </w:r>
      <w:r>
        <w:rPr>
          <w:color w:val="000000"/>
        </w:rPr>
        <w:t xml:space="preserve"> </w:t>
      </w:r>
      <w:r>
        <w:rPr>
          <w:rFonts w:ascii="Times New Roman;serif" w:hAnsi="Times New Roman;serif"/>
          <w:b w:val="false"/>
          <w:color w:val="000000"/>
          <w:sz w:val="20"/>
        </w:rPr>
        <w:t>plans.</w:t>
      </w:r>
      <w:r>
        <w:rPr>
          <w:color w:val="000000"/>
        </w:rPr>
        <w:t xml:space="preserve"> </w:t>
      </w:r>
      <w:r>
        <w:rPr>
          <w:rFonts w:ascii="Times New Roman;serif" w:hAnsi="Times New Roman;serif"/>
          <w:b w:val="false"/>
          <w:color w:val="000000"/>
          <w:sz w:val="20"/>
        </w:rPr>
        <w:t>To</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extent</w:t>
      </w:r>
      <w:r>
        <w:rPr>
          <w:color w:val="000000"/>
        </w:rPr>
        <w:t xml:space="preserve"> </w:t>
      </w:r>
      <w:r>
        <w:rPr>
          <w:rFonts w:ascii="Times New Roman;serif" w:hAnsi="Times New Roman;serif"/>
          <w:b w:val="false"/>
          <w:color w:val="000000"/>
          <w:sz w:val="20"/>
        </w:rPr>
        <w:t>that</w:t>
      </w:r>
      <w:r>
        <w:rPr>
          <w:color w:val="000000"/>
        </w:rPr>
        <w:t xml:space="preserve"> </w:t>
      </w:r>
      <w:r>
        <w:rPr>
          <w:rFonts w:ascii="Times New Roman;serif" w:hAnsi="Times New Roman;serif"/>
          <w:b w:val="false"/>
          <w:color w:val="000000"/>
          <w:sz w:val="20"/>
        </w:rPr>
        <w:t>additional</w:t>
      </w:r>
      <w:r>
        <w:rPr>
          <w:color w:val="000000"/>
        </w:rPr>
        <w:t xml:space="preserve"> </w:t>
      </w:r>
      <w:r>
        <w:rPr>
          <w:rFonts w:ascii="Times New Roman;serif" w:hAnsi="Times New Roman;serif"/>
          <w:b w:val="false"/>
          <w:color w:val="000000"/>
          <w:sz w:val="20"/>
        </w:rPr>
        <w:t>capital is</w:t>
      </w:r>
      <w:r>
        <w:rPr>
          <w:color w:val="000000"/>
        </w:rPr>
        <w:t xml:space="preserve"> </w:t>
      </w:r>
      <w:r>
        <w:rPr>
          <w:rFonts w:ascii="Times New Roman;serif" w:hAnsi="Times New Roman;serif"/>
          <w:b w:val="false"/>
          <w:color w:val="000000"/>
          <w:sz w:val="20"/>
        </w:rPr>
        <w:t>raised</w:t>
      </w:r>
      <w:r>
        <w:rPr>
          <w:color w:val="000000"/>
        </w:rPr>
        <w:t xml:space="preserve"> </w:t>
      </w:r>
      <w:r>
        <w:rPr>
          <w:rFonts w:ascii="Times New Roman;serif" w:hAnsi="Times New Roman;serif"/>
          <w:b w:val="false"/>
          <w:color w:val="000000"/>
          <w:sz w:val="20"/>
        </w:rPr>
        <w:t>through</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sale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equity</w:t>
      </w:r>
      <w:r>
        <w:rPr>
          <w:color w:val="000000"/>
        </w:rPr>
        <w:t xml:space="preserve"> </w:t>
      </w:r>
      <w:r>
        <w:rPr>
          <w:rFonts w:ascii="Times New Roman;serif" w:hAnsi="Times New Roman;serif"/>
          <w:b w:val="false"/>
          <w:color w:val="000000"/>
          <w:sz w:val="20"/>
        </w:rPr>
        <w:t>or</w:t>
      </w:r>
      <w:r>
        <w:rPr>
          <w:color w:val="000000"/>
        </w:rPr>
        <w:t xml:space="preserve"> </w:t>
      </w:r>
      <w:r>
        <w:rPr>
          <w:rFonts w:ascii="Times New Roman;serif" w:hAnsi="Times New Roman;serif"/>
          <w:b w:val="false"/>
          <w:color w:val="000000"/>
          <w:sz w:val="20"/>
        </w:rPr>
        <w:t>convertible</w:t>
      </w:r>
      <w:r>
        <w:rPr>
          <w:color w:val="000000"/>
        </w:rPr>
        <w:t xml:space="preserve"> </w:t>
      </w:r>
      <w:r>
        <w:rPr>
          <w:rFonts w:ascii="Times New Roman;serif" w:hAnsi="Times New Roman;serif"/>
          <w:b w:val="false"/>
          <w:color w:val="000000"/>
          <w:sz w:val="20"/>
        </w:rPr>
        <w:t>debt</w:t>
      </w:r>
      <w:r>
        <w:rPr>
          <w:color w:val="000000"/>
        </w:rPr>
        <w:t xml:space="preserve"> </w:t>
      </w:r>
      <w:r>
        <w:rPr>
          <w:rFonts w:ascii="Times New Roman;serif" w:hAnsi="Times New Roman;serif"/>
          <w:b w:val="false"/>
          <w:color w:val="000000"/>
          <w:sz w:val="20"/>
        </w:rPr>
        <w:t>securities,</w:t>
      </w:r>
      <w:r>
        <w:rPr>
          <w:color w:val="000000"/>
        </w:rPr>
        <w:t xml:space="preserve">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issuance</w:t>
      </w:r>
      <w:r>
        <w:rPr>
          <w:color w:val="000000"/>
        </w:rPr>
        <w:t xml:space="preserve"> </w:t>
      </w:r>
      <w:r>
        <w:rPr>
          <w:rFonts w:ascii="Times New Roman;serif" w:hAnsi="Times New Roman;serif"/>
          <w:b w:val="false"/>
          <w:color w:val="000000"/>
          <w:sz w:val="20"/>
        </w:rPr>
        <w:t>of</w:t>
      </w:r>
      <w:r>
        <w:rPr>
          <w:color w:val="000000"/>
        </w:rPr>
        <w:t xml:space="preserve"> </w:t>
      </w:r>
      <w:r>
        <w:rPr>
          <w:rFonts w:ascii="Times New Roman;serif" w:hAnsi="Times New Roman;serif"/>
          <w:b w:val="false"/>
          <w:color w:val="000000"/>
          <w:sz w:val="20"/>
        </w:rPr>
        <w:t>these</w:t>
      </w:r>
      <w:r>
        <w:rPr>
          <w:color w:val="000000"/>
        </w:rPr>
        <w:t xml:space="preserve"> </w:t>
      </w:r>
      <w:r>
        <w:rPr>
          <w:rFonts w:ascii="Times New Roman;serif" w:hAnsi="Times New Roman;serif"/>
          <w:b w:val="false"/>
          <w:color w:val="000000"/>
          <w:sz w:val="20"/>
        </w:rPr>
        <w:t>securities</w:t>
      </w:r>
      <w:r>
        <w:rPr>
          <w:color w:val="000000"/>
        </w:rPr>
        <w:t xml:space="preserve"> </w:t>
      </w:r>
      <w:r>
        <w:rPr>
          <w:rFonts w:ascii="Times New Roman;serif" w:hAnsi="Times New Roman;serif"/>
          <w:b w:val="false"/>
          <w:color w:val="000000"/>
          <w:sz w:val="20"/>
        </w:rPr>
        <w:t>could</w:t>
      </w:r>
      <w:r>
        <w:rPr>
          <w:color w:val="000000"/>
        </w:rPr>
        <w:t xml:space="preserve"> </w:t>
      </w:r>
      <w:r>
        <w:rPr>
          <w:rFonts w:ascii="Times New Roman;serif" w:hAnsi="Times New Roman;serif"/>
          <w:b w:val="false"/>
          <w:color w:val="000000"/>
          <w:sz w:val="20"/>
        </w:rPr>
        <w:t>result</w:t>
      </w:r>
      <w:r>
        <w:rPr>
          <w:color w:val="000000"/>
        </w:rPr>
        <w:t xml:space="preserve"> </w:t>
      </w:r>
      <w:r>
        <w:rPr>
          <w:rFonts w:ascii="Times New Roman;serif" w:hAnsi="Times New Roman;serif"/>
          <w:b w:val="false"/>
          <w:color w:val="000000"/>
          <w:sz w:val="20"/>
        </w:rPr>
        <w:t>in further</w:t>
      </w:r>
      <w:r>
        <w:rPr>
          <w:color w:val="000000"/>
        </w:rPr>
        <w:t xml:space="preserve"> </w:t>
      </w:r>
      <w:r>
        <w:rPr>
          <w:rFonts w:ascii="Times New Roman;serif" w:hAnsi="Times New Roman;serif"/>
          <w:b w:val="false"/>
          <w:color w:val="000000"/>
          <w:sz w:val="20"/>
        </w:rPr>
        <w:t>dilution</w:t>
      </w:r>
      <w:r>
        <w:rPr>
          <w:color w:val="000000"/>
        </w:rPr>
        <w:t xml:space="preserve"> </w:t>
      </w:r>
      <w:r>
        <w:rPr>
          <w:rFonts w:ascii="Times New Roman;serif" w:hAnsi="Times New Roman;serif"/>
          <w:b w:val="false"/>
          <w:color w:val="000000"/>
          <w:sz w:val="20"/>
        </w:rPr>
        <w:t>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entered into a sales agreement with TD Cowen, under which we may issue and sell from time to time shares of our common stock through TD Cowen as our sales agent. Sales of our common stock, if any, will be made at market prices by any method that is deemed to be an “at the market offering” as defined in Rule 415(a)(4) under the Securities Act, including sales made directly on Nasdaq or any other trading market for our common stock. If authorized by us in writing, TD Cowen may purchase shares of our common stock as principal.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aggregate compensation payable to TD Cowen as sales agent is up to 3.0% of the gross sales price of the shares sold through it pursuant to the sales agreement. We also agreed to reimburse TD Cowen up to $50,000 of TD Cowen’s actual outside legal expenses incurred by TD Cowen in connection with offerings under the sales agreement, and for TD Cowen’s FINRA counsel fees in an amount up to $10,000. We estimate that the total expenses of the offering payable by us, excluding commissions payable to TD Cowen under the sales agreement, will be approximately $250,000.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TD Cowen will provide written confirmation to us following the close of trading on Nasdaq on each day in which common stock is sold through it as sales agent under the sales agreement. Each confirmation will include the number of shares of common stock sold through it as sales agent on that day, the volume-weighted average price of the shares sold, the percentage of the daily trading volume and the net proceeds to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report at least quarterly the number of shares of common stock sold through TD Cowen under the Sales Agreement and the net proceeds to us in connection with the sales of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sales of our common stock on our behalf, TD Cowen will be deemed to be an “underwriter” within the meaning of the Securities Act, and the compensation paid to TD Cowen will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and trades under the symbol “ALLO.” The transfer agent of our common stock is Equiniti Trust Company, LLC.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TD Cowen and/or its affiliates have provided, and may in the future provide, various investment banking and other financial services for us for which services they have received and, may in the future receive, customary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Cooley LLP will pass upon the validity of the shares of common stock being offered by this prospectus supplement. TD Securities (USA) LLC is being represented in connection with this offering by Latham &amp; Watkins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Ernst &amp; Young LLP, independent registered public accounting firm, has audited our consolidated financial statements included in our Annual Report on Form 10-K for the year ended December 31, 2025,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and the accompanying prospectus are part of a registration statement on Form S-3 we filed with the SEC under the Securities Act and do not contain all the information set forth in the registration statement. Whenever a reference is made in this prospectus supplement or the accompanying prospectus to any of our contracts, agreements or other documents, the reference may not be complete and you should refer to the exhibits that are a part of the registration statement or the exhibits to the reports or other documents incorporated by reference in this prospectus supplement and the accompanying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the information we file with it, which means that we can disclose important information to you by referring you to those documents. Information incorporated by reference is part of this prospectus supplement and the accompanying prospectus. Later information filed with the SEC will update and supersede this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incorporate by reference the documents listed below and any future filings made by us with the SEC under Sections 13(a), 13(c), 14 or 15(d) of the Exchange Act after the date of this prospectus supplement until the termination of the offering of the shares covered by this prospectus supplement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our Annual Report on Form 10-K for the year ended December 31, 2025, filed with the SEC on </w:t>
      </w:r>
      <w:hyperlink r:id="rId3">
        <w:r>
          <w:rPr>
            <w:rStyle w:val="InternetLink"/>
          </w:rPr>
          <w:t>March 12,</w:t>
        </w:r>
      </w:hyperlink>
      <w:hyperlink r:id="rId4">
        <w:r>
          <w:rPr>
            <w:rStyle w:val="InternetLink"/>
          </w:rPr>
          <w:t xml:space="preserve"> </w:t>
        </w:r>
      </w:hyperlink>
      <w:hyperlink r:id="rId5">
        <w:r>
          <w:rPr>
            <w:rStyle w:val="InternetLink"/>
          </w:rPr>
          <w:t>2026</w:t>
        </w:r>
      </w:hyperlink>
      <w:r>
        <w:rPr>
          <w:rFonts w:ascii="Times New Roman;serif" w:hAnsi="Times New Roman;serif"/>
          <w:b w:val="false"/>
          <w:color w:val="000000"/>
          <w:sz w:val="20"/>
          <w:shd w:fill="FFFFFF" w:val="clear"/>
        </w:rPr>
        <w:t>;</w:t>
      </w:r>
      <w:r>
        <w:rPr>
          <w:color w:val="000000"/>
        </w:rPr>
        <w:t xml:space="preserv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the information specifically incorporated by reference into our Annual Report on Form 10-K for the year ended December 31, 2025 from our definitive proxy statement on Schedule 14A, filed with the SEC on </w:t>
      </w:r>
      <w:hyperlink r:id="rId6">
        <w:r>
          <w:rPr>
            <w:rStyle w:val="InternetLink"/>
            <w:rFonts w:ascii="Times New Roman;serif" w:hAnsi="Times New Roman;serif"/>
            <w:b w:val="false"/>
            <w:color w:val="0000FF"/>
            <w:sz w:val="20"/>
            <w:u w:val="single"/>
            <w:shd w:fill="FFFFFF" w:val="clear"/>
          </w:rPr>
          <w:t>April 30, 2026</w:t>
        </w:r>
      </w:hyperlink>
      <w:r>
        <w:rPr>
          <w:rFonts w:ascii="Times New Roman;serif" w:hAnsi="Times New Roman;serif"/>
          <w:b w:val="false"/>
          <w:color w:val="000000"/>
          <w:sz w:val="20"/>
          <w:shd w:fill="FFFFFF" w:val="clear"/>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our Quarterly Report on Form 10-Q, filed with the SEC on </w:t>
      </w:r>
      <w:hyperlink r:id="rId7">
        <w:r>
          <w:rPr>
            <w:rStyle w:val="InternetLink"/>
            <w:rFonts w:ascii="Times New Roman;serif" w:hAnsi="Times New Roman;serif"/>
            <w:b w:val="false"/>
            <w:color w:val="0000FF"/>
            <w:sz w:val="20"/>
            <w:u w:val="single"/>
            <w:shd w:fill="FFFFFF" w:val="clear"/>
          </w:rPr>
          <w:t>May 13, 2026</w:t>
        </w:r>
      </w:hyperlink>
      <w:r>
        <w:rPr>
          <w:rFonts w:ascii="Times New Roman;serif" w:hAnsi="Times New Roman;serif"/>
          <w:b w:val="false"/>
          <w:color w:val="000000"/>
          <w:sz w:val="20"/>
          <w:shd w:fill="FFFFFF" w:val="clear"/>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our Current Reports on Form 8-K, filed with the SEC on </w:t>
      </w:r>
      <w:hyperlink r:id="rId8">
        <w:r>
          <w:rPr>
            <w:rStyle w:val="InternetLink"/>
            <w:rFonts w:ascii="Times New Roman;serif" w:hAnsi="Times New Roman;serif"/>
            <w:b w:val="false"/>
            <w:color w:val="0000FF"/>
            <w:sz w:val="20"/>
            <w:u w:val="single"/>
            <w:shd w:fill="FFFFFF" w:val="clear"/>
          </w:rPr>
          <w:t>April 13, 2026</w:t>
        </w:r>
      </w:hyperlink>
      <w:r>
        <w:rPr>
          <w:rFonts w:ascii="Times New Roman;serif" w:hAnsi="Times New Roman;serif"/>
          <w:b w:val="false"/>
          <w:color w:val="000000"/>
          <w:sz w:val="20"/>
          <w:shd w:fill="FFFFFF" w:val="clear"/>
        </w:rPr>
        <w:t xml:space="preserve">, </w:t>
      </w:r>
      <w:hyperlink r:id="rId9">
        <w:r>
          <w:rPr>
            <w:rStyle w:val="InternetLink"/>
            <w:rFonts w:ascii="Times New Roman;serif" w:hAnsi="Times New Roman;serif"/>
            <w:b w:val="false"/>
            <w:color w:val="0000FF"/>
            <w:sz w:val="20"/>
            <w:u w:val="single"/>
            <w:shd w:fill="FFFFFF" w:val="clear"/>
          </w:rPr>
          <w:t>April 13, 2026</w:t>
        </w:r>
      </w:hyperlink>
      <w:r>
        <w:rPr>
          <w:rFonts w:ascii="Times New Roman;serif" w:hAnsi="Times New Roman;serif"/>
          <w:b w:val="false"/>
          <w:color w:val="000000"/>
          <w:sz w:val="20"/>
          <w:shd w:fill="FFFFFF" w:val="clear"/>
        </w:rPr>
        <w:t xml:space="preserve">, </w:t>
      </w:r>
      <w:hyperlink r:id="rId10">
        <w:r>
          <w:rPr>
            <w:rStyle w:val="InternetLink"/>
            <w:rFonts w:ascii="Times New Roman;serif" w:hAnsi="Times New Roman;serif"/>
            <w:b w:val="false"/>
            <w:color w:val="0000FF"/>
            <w:sz w:val="20"/>
            <w:u w:val="single"/>
            <w:shd w:fill="FFFFFF" w:val="clear"/>
          </w:rPr>
          <w:t>April 15, 2026</w:t>
        </w:r>
      </w:hyperlink>
      <w:r>
        <w:rPr>
          <w:rFonts w:ascii="Times New Roman;serif" w:hAnsi="Times New Roman;serif"/>
          <w:b w:val="false"/>
          <w:color w:val="000000"/>
          <w:sz w:val="20"/>
          <w:shd w:fill="FFFFFF" w:val="clear"/>
        </w:rPr>
        <w:t xml:space="preserve">, </w:t>
      </w:r>
      <w:hyperlink r:id="rId11">
        <w:r>
          <w:rPr>
            <w:rStyle w:val="InternetLink"/>
            <w:rFonts w:ascii="Times New Roman;serif" w:hAnsi="Times New Roman;serif"/>
            <w:b w:val="false"/>
            <w:color w:val="0000FF"/>
            <w:sz w:val="20"/>
            <w:u w:val="single"/>
            <w:shd w:fill="FFFFFF" w:val="clear"/>
          </w:rPr>
          <w:t>May 13, 2026</w:t>
        </w:r>
      </w:hyperlink>
      <w:r>
        <w:rPr>
          <w:color w:val="000000"/>
          <w:shd w:fill="FFFFFF" w:val="clear"/>
        </w:rPr>
        <w:t xml:space="preserve"> </w:t>
      </w:r>
      <w:r>
        <w:rPr>
          <w:rFonts w:ascii="Times New Roman;serif" w:hAnsi="Times New Roman;serif"/>
          <w:b w:val="false"/>
          <w:color w:val="000000"/>
          <w:sz w:val="20"/>
          <w:shd w:fill="FFFFFF" w:val="clear"/>
        </w:rPr>
        <w:t xml:space="preserve">and </w:t>
      </w:r>
      <w:hyperlink r:id="rId12">
        <w:r>
          <w:rPr>
            <w:rStyle w:val="InternetLink"/>
            <w:rFonts w:ascii="Times New Roman;serif" w:hAnsi="Times New Roman;serif"/>
            <w:b w:val="false"/>
            <w:color w:val="0000FF"/>
            <w:sz w:val="20"/>
            <w:u w:val="single"/>
            <w:shd w:fill="FFFFFF" w:val="clear"/>
          </w:rPr>
          <w:t>May 28, 2026</w:t>
        </w:r>
      </w:hyperlink>
      <w:r>
        <w:rPr>
          <w:rFonts w:ascii="Times New Roman;serif" w:hAnsi="Times New Roman;serif"/>
          <w:b w:val="false"/>
          <w:color w:val="000000"/>
          <w:sz w:val="20"/>
          <w:shd w:fill="FFFFFF" w:val="clear"/>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description of our common stock, which is registered under Section 12 of the Exchange Act, described in </w:t>
      </w:r>
      <w:hyperlink r:id="rId13">
        <w:r>
          <w:rPr>
            <w:rStyle w:val="InternetLink"/>
            <w:rFonts w:ascii="Times New Roman;serif" w:hAnsi="Times New Roman;serif"/>
            <w:b w:val="false"/>
            <w:color w:val="0000FF"/>
            <w:sz w:val="20"/>
            <w:u w:val="single"/>
            <w:shd w:fill="FFFFFF" w:val="clear"/>
          </w:rPr>
          <w:t>Exhibit 4.3</w:t>
        </w:r>
      </w:hyperlink>
      <w:r>
        <w:rPr>
          <w:color w:val="000000"/>
          <w:shd w:fill="FFFFFF" w:val="clear"/>
        </w:rPr>
        <w:t> </w:t>
      </w:r>
      <w:r>
        <w:rPr>
          <w:rFonts w:ascii="Times New Roman;serif" w:hAnsi="Times New Roman;serif"/>
          <w:b w:val="false"/>
          <w:color w:val="000000"/>
          <w:sz w:val="20"/>
          <w:shd w:fill="FFFFFF" w:val="clear"/>
        </w:rPr>
        <w:t>to our Annual Report on Form 10-K for the year ended December 31, 2022, filed with the SEC on February 28, 2023, including all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request a copy of these filings (other than exhibits, unless they are specifically incorporated by reference in the documents) at no cost, by contacting us at the following address or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Allogene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210 East Grand Avenue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South San Francisco, CA 94080</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(650) 457-2700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center"/>
        <w:rPr/>
      </w:pPr>
      <w:r>
        <w:rPr/>
        <w:drawing>
          <wp:inline distT="0" distB="0" distL="0" distR="0">
            <wp:extent cx="2628900" cy="6477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14"/>
                    <a:stretch>
                      <a:fillRect/>
                    </a:stretch>
                  </pic:blipFill>
                  <pic:spPr bwMode="auto">
                    <a:xfrm>
                      <a:off x="0" y="0"/>
                      <a:ext cx="2628900" cy="6477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$500,000,000</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Preferred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Debt Securities</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Warrants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we may offer and sell up to an aggregate amount of $500,000,000 of any combination of shares of our common stock, shares of our preferred stock, debt securities and warrants to purchase any of such securities in one or more offerings as described in this prospectus. We may also offer securities as may be issuable upon conversion, redemption, repurchase, exchange or exercise of any securities registered hereunder, including any applicable antidilution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provides a general description of the securities we may offer. Each time we offer securities, we will specify in an accompanying prospectus supplement the terms of the securities being offered.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This prospectus may not be used to consummate a sale of any securities unless accompanied by a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Nasdaq Global Select Market under the symbol “ALLO.” On March 12, 2024, the last reported sale price of our common stock was $4.90 per share. The applicable prospectus supplement will contain information, where applicable, as to any other listing on the Nasdaq Global Select Market or any securities market or other exchange of the securities, if any, covered by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color w:val="000000"/>
          <w:sz w:val="20"/>
        </w:rPr>
        <w:t>Investing in our securities involves a high degree of risk. You should carefully review the risks and uncertainties described under the heading “</w:t>
      </w:r>
      <w:hyperlink w:anchor="i8bd582a85bdd4c388a603007f61ff528_55">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8bd582a85bdd4c388a603007f61ff528_55">
        <w:r>
          <w:rPr>
            <w:rStyle w:val="InternetLink"/>
            <w:rFonts w:ascii="Times New Roman;serif" w:hAnsi="Times New Roman;serif"/>
            <w:b/>
            <w:color w:val="0000FF"/>
            <w:sz w:val="20"/>
            <w:u w:val="single"/>
          </w:rPr>
          <w:t>4</w:t>
        </w:r>
      </w:hyperlink>
      <w:r>
        <w:rPr>
          <w:color w:val="000000"/>
        </w:rPr>
        <w:t xml:space="preserve"> </w:t>
      </w:r>
      <w:r>
        <w:rPr>
          <w:rFonts w:ascii="Times New Roman;serif" w:hAnsi="Times New Roman;serif"/>
          <w:b/>
          <w:color w:val="000000"/>
          <w:sz w:val="20"/>
        </w:rPr>
        <w:t>of this prospectus as well as those contained in the applicable prospectus supplement and any related free writing prospectus, and under similar headings in the other documents that are incorporated by reference into this prospectus.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is April 25,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6361" w:type="dxa"/>
        <w:jc w:val="center"/>
        <w:tblInd w:w="0" w:type="dxa"/>
        <w:tblLayout w:type="fixed"/>
        <w:tblCellMar>
          <w:top w:w="28" w:type="dxa"/>
          <w:left w:w="28" w:type="dxa"/>
          <w:bottom w:w="28" w:type="dxa"/>
          <w:right w:w="28" w:type="dxa"/>
        </w:tblCellMar>
      </w:tblPr>
      <w:tblGrid>
        <w:gridCol w:w="2118"/>
        <w:gridCol w:w="1861"/>
        <w:gridCol w:w="1871"/>
        <w:gridCol w:w="149"/>
        <w:gridCol w:w="149"/>
        <w:gridCol w:w="213"/>
      </w:tblGrid>
      <w:tr>
        <w:trPr/>
        <w:tc>
          <w:tcPr>
            <w:tcW w:w="2118"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49">
              <w:r>
                <w:rPr>
                  <w:rStyle w:val="InternetLink"/>
                  <w:rFonts w:ascii="Times New Roman;serif" w:hAnsi="Times New Roman;serif"/>
                  <w:b w:val="false"/>
                  <w:color w:val="0000FF"/>
                  <w:sz w:val="20"/>
                  <w:u w:val="single"/>
                </w:rPr>
                <w:t>ABOUT THIS PROSPECTUS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49">
              <w:r>
                <w:rPr>
                  <w:rStyle w:val="InternetLink"/>
                  <w:rFonts w:ascii="Times New Roman;serif" w:hAnsi="Times New Roman;serif"/>
                  <w:b w:val="false"/>
                  <w:color w:val="0000FF"/>
                  <w:sz w:val="20"/>
                  <w:u w:val="single"/>
                </w:rPr>
                <w:t>ii</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52">
              <w:r>
                <w:rPr>
                  <w:rStyle w:val="InternetLink"/>
                  <w:rFonts w:ascii="Times New Roman;serif" w:hAnsi="Times New Roman;serif"/>
                  <w:b w:val="false"/>
                  <w:color w:val="0000FF"/>
                  <w:sz w:val="20"/>
                  <w:u w:val="single"/>
                </w:rPr>
                <w:t>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52">
              <w:r>
                <w:rPr>
                  <w:rStyle w:val="InternetLink"/>
                  <w:rFonts w:ascii="Times New Roman;serif" w:hAnsi="Times New Roman;serif"/>
                  <w:b w:val="false"/>
                  <w:color w:val="0000FF"/>
                  <w:sz w:val="20"/>
                  <w:u w:val="single"/>
                </w:rPr>
                <w:t>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55">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55">
              <w:r>
                <w:rPr>
                  <w:rStyle w:val="InternetLink"/>
                  <w:rFonts w:ascii="Times New Roman;serif" w:hAnsi="Times New Roman;serif"/>
                  <w:b w:val="false"/>
                  <w:color w:val="0000FF"/>
                  <w:sz w:val="20"/>
                  <w:u w:val="single"/>
                </w:rPr>
                <w:t>4</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58">
              <w:r>
                <w:rPr>
                  <w:rStyle w:val="InternetLink"/>
                  <w:rFonts w:ascii="Times New Roman;serif" w:hAnsi="Times New Roman;serif"/>
                  <w:b w:val="false"/>
                  <w:color w:val="0000FF"/>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58">
              <w:r>
                <w:rPr>
                  <w:rStyle w:val="InternetLink"/>
                  <w:rFonts w:ascii="Times New Roman;serif" w:hAnsi="Times New Roman;serif"/>
                  <w:b w:val="false"/>
                  <w:color w:val="0000FF"/>
                  <w:sz w:val="20"/>
                  <w:u w:val="single"/>
                </w:rPr>
                <w:t>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61">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61">
              <w:r>
                <w:rPr>
                  <w:rStyle w:val="InternetLink"/>
                  <w:rFonts w:ascii="Times New Roman;serif" w:hAnsi="Times New Roman;serif"/>
                  <w:b w:val="false"/>
                  <w:color w:val="0000FF"/>
                  <w:sz w:val="20"/>
                  <w:u w:val="single"/>
                </w:rPr>
                <w:t>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64">
              <w:r>
                <w:rPr>
                  <w:rStyle w:val="InternetLink"/>
                  <w:rFonts w:ascii="Times New Roman;serif" w:hAnsi="Times New Roman;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64">
              <w:r>
                <w:rPr>
                  <w:rStyle w:val="InternetLink"/>
                  <w:rFonts w:ascii="Times New Roman;serif" w:hAnsi="Times New Roman;serif"/>
                  <w:b w:val="false"/>
                  <w:color w:val="0000FF"/>
                  <w:sz w:val="20"/>
                  <w:u w:val="single"/>
                </w:rPr>
                <w:t>8</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67">
              <w:r>
                <w:rPr>
                  <w:rStyle w:val="InternetLink"/>
                  <w:rFonts w:ascii="Times New Roman;serif" w:hAnsi="Times New Roman;serif"/>
                  <w:b w:val="false"/>
                  <w:color w:val="0000FF"/>
                  <w:sz w:val="20"/>
                  <w:u w:val="singl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67">
              <w:r>
                <w:rPr>
                  <w:rStyle w:val="InternetLink"/>
                  <w:rFonts w:ascii="Times New Roman;serif" w:hAnsi="Times New Roman;serif"/>
                  <w:b w:val="false"/>
                  <w:color w:val="0000FF"/>
                  <w:sz w:val="20"/>
                  <w:u w:val="single"/>
                </w:rPr>
                <w:t>12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70">
              <w:r>
                <w:rPr>
                  <w:rStyle w:val="InternetLink"/>
                  <w:rFonts w:ascii="Times New Roman;serif" w:hAnsi="Times New Roman;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70">
              <w:r>
                <w:rPr>
                  <w:rStyle w:val="InternetLink"/>
                  <w:rFonts w:ascii="Times New Roman;serif" w:hAnsi="Times New Roman;serif"/>
                  <w:b w:val="false"/>
                  <w:color w:val="0000FF"/>
                  <w:sz w:val="20"/>
                  <w:u w:val="single"/>
                </w:rPr>
                <w:t>19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73">
              <w:r>
                <w:rPr>
                  <w:rStyle w:val="InternetLink"/>
                  <w:rFonts w:ascii="Times New Roman;serif" w:hAnsi="Times New Roman;serif"/>
                  <w:b w:val="false"/>
                  <w:color w:val="0000FF"/>
                  <w:sz w:val="20"/>
                  <w:u w:val="single"/>
                </w:rPr>
                <w:t>LEGAL OWNERSHIP OF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73">
              <w:r>
                <w:rPr>
                  <w:rStyle w:val="InternetLink"/>
                  <w:rFonts w:ascii="Times New Roman;serif" w:hAnsi="Times New Roman;serif"/>
                  <w:b w:val="false"/>
                  <w:color w:val="0000FF"/>
                  <w:sz w:val="20"/>
                  <w:u w:val="single"/>
                </w:rPr>
                <w:t>22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76">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76">
              <w:r>
                <w:rPr>
                  <w:rStyle w:val="InternetLink"/>
                  <w:rFonts w:ascii="Times New Roman;serif" w:hAnsi="Times New Roman;serif"/>
                  <w:b w:val="false"/>
                  <w:color w:val="0000FF"/>
                  <w:sz w:val="20"/>
                  <w:u w:val="single"/>
                </w:rPr>
                <w:t>25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79">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79">
              <w:r>
                <w:rPr>
                  <w:rStyle w:val="InternetLink"/>
                  <w:rFonts w:ascii="Times New Roman;serif" w:hAnsi="Times New Roman;serif"/>
                  <w:b w:val="false"/>
                  <w:color w:val="0000FF"/>
                  <w:sz w:val="20"/>
                  <w:u w:val="single"/>
                </w:rPr>
                <w:t>27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82">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82">
              <w:r>
                <w:rPr>
                  <w:rStyle w:val="InternetLink"/>
                  <w:rFonts w:ascii="Times New Roman;serif" w:hAnsi="Times New Roman;serif"/>
                  <w:b w:val="false"/>
                  <w:color w:val="0000FF"/>
                  <w:sz w:val="20"/>
                  <w:u w:val="single"/>
                </w:rPr>
                <w:t>27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85">
              <w:r>
                <w:rPr>
                  <w:rStyle w:val="InternetLink"/>
                  <w:rFonts w:ascii="Times New Roman;serif" w:hAnsi="Times New Roman;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85">
              <w:r>
                <w:rPr>
                  <w:rStyle w:val="InternetLink"/>
                  <w:rFonts w:ascii="Times New Roman;serif" w:hAnsi="Times New Roman;serif"/>
                  <w:b w:val="false"/>
                  <w:color w:val="0000FF"/>
                  <w:sz w:val="20"/>
                  <w:u w:val="single"/>
                </w:rPr>
                <w:t>27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bd582a85bdd4c388a603007f61ff528_88">
              <w:r>
                <w:rPr>
                  <w:rStyle w:val="InternetLink"/>
                  <w:rFonts w:ascii="Times New Roman;serif" w:hAnsi="Times New Roman;serif"/>
                  <w:b w:val="false"/>
                  <w:color w:val="0000FF"/>
                  <w:sz w:val="20"/>
                  <w:u w:val="single"/>
                </w:rPr>
                <w:t>INCORPORATION OF CERTAIN INFORMATION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d582a85bdd4c388a603007f61ff528_88">
              <w:r>
                <w:rPr>
                  <w:rStyle w:val="InternetLink"/>
                  <w:rFonts w:ascii="Times New Roman;serif" w:hAnsi="Times New Roman;serif"/>
                  <w:b w:val="false"/>
                  <w:color w:val="0000FF"/>
                  <w:sz w:val="20"/>
                  <w:u w:val="singl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a part of a registration statement on Form S-3 that we filed with the U.S. Securities and Exchange Commission (SEC) utilizing a “shelf” registration process under the Securities Act of 1933, as amended (the Securities Act). Under this shelf registration process, we may offer and sell from time to time in one or more offerings the securities described in this prospectus up to a total dollar amount of $500,000,000.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provides you with a general description of the securities we may offer. Each time we offer securities under this prospectus, we will provide a prospectus supplement that will contain specific information about the terms of these securities and offerings.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THIS PROSPECTUS MAY NOT BE USED TO CONSUMMATE A SALE OF SECURITIES UNLESS IT IS ACCOMPANIED BY A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SUMMARY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the context requires otherwise, references in this prospectus to the “Company,” “Allogene,” “we,” “us” and “our” refer to Allogene Therapeutics, Inc.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 clinical stage immuno-oncology company pioneering the development of genetically engineered allogeneic T cell product candidates for the treatment of cancer and autoimmune diseases. We are developing a pipeline of “off-the-shelf” T cell product candidates that are designed to target and kill cancer cells in patients or eliminate pathogenic autoreactive cells in patients with autoimmune disorders. Our engineered T cells are allogeneic, meaning they are derived from healthy donors for intended use in any patient, rather than from an individual patient for that patient’s use, as in the case of autologous T cells. We believe this key difference will enable us to deliver readily available treatments faster, more reliably, at greater scale, and to more patients.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were incorporated in Delaware in November 2017. Our principal executive offices are located at 210 East Grand Avenue, South San Francisco, California 94080, and our telephone number is (650) 457-2700. Our corporate website address is www.allogene.com. Information contained on or accessible through our website is not a part of this prospectus, and the inclusion of our website address in this prospectus is an inactive textual reference only.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contains references to our trademarks and to trademarks belonging to other entities. Solely for convenience, trademarks and trade names referred to in this prospectus,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The Securities We May Offer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offer shares of our common stock, shares of our preferred stock, debt securities and warrants to purchase any of such securities, up to a total aggregate amount of $500,000,000,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designation or classification;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aggregate principal amount or aggregate offering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maturity, if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original issue discount,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rates and times of payment of interest or dividends, if any;</w:t>
      </w: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redemption, conversion, exchange or sinking fund terms,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conversion or exchange prices or rates, if any, and, if applicable, any provisions for changes to or adjustments in the conversion or exchange prices or rates and in the securities or other property receivable upon conversion or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ranking, if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restrictive covenants,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voting or other rights, if any;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important U.S. federal income tax considerations.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This prospectus may not be used to consummate a sale of securities unless it is accompanied by a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names of those underwriters or agents;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applicable fees, discounts and commissions to be paid to them;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details regarding over-allotment options, if any;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estimated net proceeds to us.</w:t>
      </w:r>
    </w:p>
    <w:p>
      <w:pPr>
        <w:pStyle w:val="TextBody"/>
        <w:bidi w:val="0"/>
        <w:spacing w:lineRule="auto" w:line="288" w:before="0" w:after="180"/>
        <w:jc w:val="left"/>
        <w:rPr/>
      </w:pPr>
      <w:r>
        <w:rPr>
          <w:rFonts w:ascii="Times New Roman;serif" w:hAnsi="Times New Roman;serif"/>
          <w:b/>
          <w:i/>
          <w:color w:val="000000"/>
          <w:sz w:val="20"/>
        </w:rPr>
        <w:t>Common Stock</w:t>
      </w:r>
      <w:r>
        <w:rPr>
          <w:rFonts w:ascii="Times New Roman;serif" w:hAnsi="Times New Roman;serif"/>
          <w:b w:val="false"/>
          <w:color w:val="000000"/>
          <w:sz w:val="20"/>
        </w:rPr>
        <w:t>. We may issue shares of our common stock from time to time. Holders of our common stock are entitled to one vote per share for the election of directors and on all other matters that require stockholder approval. Subject to any preferential rights of any then outstanding preferred stock, in the event of our liquidation, dissolution or winding up, holders of our common stock are entitled to share ratably in the assets remaining after payment of liabilities and the liquidation preferences of any then outstanding preferred stock. Our common stock does not carry any preemptive rights enabling a holder to subscribe for, or receive shares of, any class of our common stock or any other securities convertible into shares of any class of our common stock, or any redemption rights.</w:t>
      </w:r>
    </w:p>
    <w:p>
      <w:pPr>
        <w:pStyle w:val="TextBody"/>
        <w:bidi w:val="0"/>
        <w:spacing w:lineRule="auto" w:line="288" w:before="0" w:after="180"/>
        <w:jc w:val="left"/>
        <w:rPr/>
      </w:pPr>
      <w:r>
        <w:rPr>
          <w:rFonts w:ascii="Times New Roman;serif" w:hAnsi="Times New Roman;serif"/>
          <w:b/>
          <w:i/>
          <w:color w:val="000000"/>
          <w:sz w:val="20"/>
        </w:rPr>
        <w:t>Preferred Stock</w:t>
      </w:r>
      <w:r>
        <w:rPr>
          <w:rFonts w:ascii="Times New Roman;serif" w:hAnsi="Times New Roman;serif"/>
          <w:b w:val="false"/>
          <w:color w:val="000000"/>
          <w:sz w:val="20"/>
        </w:rPr>
        <w:t>. We may issue shares of our preferred stock from time to time, in one or more series. Under our amended and restated certificate of incorporation, our board of directors has the authority, without further action by stockholders, to designate up to 10,000,000 shares of preferred stock in one or more series and to fix the rights, preferences, privileges, qualifications and restrictions granted to or imposed upon the preferred stock, including dividend rights, conversion rights, voting rights, rights and terms of redemption, liquidation preference and sinking fund terms, any or all of which may be greater than the rights of the common stock. To date, none of the 10,000,000 authorized shares of preferred stock have been designated by our board of directors. Convertible preferred stock will be convertible into our common stock or exchangeable for our other securities. Conversion may be mandatory or at the option of the holders of our preferred stock and would be at prescribed conversion rates.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fix the rights, preferences, privileges, qualifications and restrictions of the preferred stock of each series that we sell under this prospectus and applicable prospectus supplements in the certificate of designation relating to that series. We will incorporate by reference into the registration statement of which this prospectus is a part the </w:t>
      </w: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form of any certificate of designation that describes the terms of the series of preferred stock we are offering before the issuance of the related series of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pStyle w:val="TextBody"/>
        <w:bidi w:val="0"/>
        <w:spacing w:lineRule="auto" w:line="288" w:before="0" w:after="180"/>
        <w:jc w:val="left"/>
        <w:rPr/>
      </w:pPr>
      <w:r>
        <w:rPr>
          <w:rFonts w:ascii="Times New Roman;serif" w:hAnsi="Times New Roman;serif"/>
          <w:b/>
          <w:i/>
          <w:color w:val="000000"/>
          <w:sz w:val="20"/>
        </w:rPr>
        <w:t>Debt Securities</w:t>
      </w:r>
      <w:r>
        <w:rPr>
          <w:rFonts w:ascii="Times New Roman;serif" w:hAnsi="Times New Roman;serif"/>
          <w:b w:val="false"/>
          <w:color w:val="000000"/>
          <w:sz w:val="20"/>
        </w:rPr>
        <w:t>. 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our common stock or preferred stock. Conversion may be mandatory or at the holder’s option and would be at prescribed conversion rates.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debt securities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lineRule="auto" w:line="288" w:before="0" w:after="180"/>
        <w:jc w:val="left"/>
        <w:rPr/>
      </w:pPr>
      <w:r>
        <w:rPr>
          <w:rFonts w:ascii="Times New Roman;serif" w:hAnsi="Times New Roman;serif"/>
          <w:b/>
          <w:i/>
          <w:color w:val="000000"/>
          <w:sz w:val="20"/>
        </w:rPr>
        <w:t>Warrants</w:t>
      </w:r>
      <w:r>
        <w:rPr>
          <w:rFonts w:ascii="Times New Roman;serif" w:hAnsi="Times New Roman;serif"/>
          <w:b w:val="false"/>
          <w:color w:val="000000"/>
          <w:sz w:val="20"/>
        </w:rPr>
        <w:t>. 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as updated by our quarterly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Statements contained in this prospectus, the applicable prospectus supplement and in the documents incorporated by reference herein and therein that are not strictly historical in nature are forward-looking statements within the meaning of Section 27A of the Securities Act, and within the meaning of Section 21E of the Securities Exchange Act of 1934, as amended (the Exchange Act). These forward-looking statements are subject to the “safe harbor” created by Section 27A of the Securities Act and Section 21E of the Exchange Act and may include, but are not limited to, statements about: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cost, timing and potential indications of our product development activities and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of the initiation, enrollment and completion of planned clinical trials in the United States and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and maintain regulatory approval of our product candidates in any of the indications for which we plan to develop them, and any related restrictions, limitations, and/or warnings in the label of an approved product candidate;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funding for our operations, including funding necessary to complete the clinical trials of any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ultimate outcome of our disputes with Servier, including disagreements relating to development cost contributions and the timeframe during which we have the right to elect a license to CD19 Products outside of the United States subsequent to Servier’s discontinuation of its involvement in the development of all CD19 products pursuant to our Exclusive License and Collaboration Agreement;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and plans to research, develop, manufacture and commercialize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collaborators with development, regulatory and commercialization expertise;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size of the markets for our product candidates, and our ability to serve those markets;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commercialize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rate and degree of market acceptance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and maintain sales and marketing capabilities, whether alone or with potential future collaborators;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developments in the United States and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contract with and the performance of our and our collaborators’ third-party suppliers and manufacturers;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and successfully operate our own manufacturing facility;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competing therapies that are or become available;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key scientific or management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accuracy of our estimates regarding expenses, future revenues, capital requirements and needs for additional financing;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use of cash and other resources, including our expected use of the proceeds from any offering under this prospectus;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ability to obtain and maintain intellectual property protection for our product candidates and our ability to operate our business without infringing on the intellectual property rights of others.</w:t>
      </w: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terms such as “anticipates,” “believes,” “could,” “estimates,” “expects,” “goal,” “intends,” “may,” “plans,” “potential,” “predicts,” “projects,” “should,” “will,” “would,” the negative of these words and words or similar expressions intended to identify forward-looking 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in the documents incorporated by reference herein and in any prospectus supplement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herein or incorporated by reference, in addition to the other information set forth in this prospectus, any accompanying prospectus supplement or free writing prospectus and in the documents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as described in any prospectus supplement or in any related free writing prospectus that we may authorize to be provided to you, we currently intend to use the net proceeds from the sale of securities under this prospectus for general corporate purposes, including clinical trial expenses, research and development expenses, general and administrative expenses, and capital expenditures. We may also use a portion of the net proceeds to in-license, invest in or acquire businesses, assets or technologies that we believe are complementary to our own, although we have no current plans, commitments or agreements with respect to any acquisitions. As of the date of this prospectus, we cannot specify with certainty all of the particular uses of the net proceeds from the sale of securities under this prospectus. Accordingly, we will retain broad discretion over the use of such proceeds. Pending the use of the net proceeds from the sale of securities under this prospectus as described above, we intend to invest the net proceeds in investment-grade, interest-bearing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400,000,000 shares of common stock, $0.001 par value, and 10,000,000 shares of preferred stock, $0.001 par value. All of our authorized preferred stock is undesignated.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summary description of our capital stock is based on the provisions of our amended and restated certificate of incorporation, and amended and restated bylaws and the applicable provisions of the Delaware General Corporation Law (DGCL). This information is qualified entirely by reference to the applicable provisions of our amended and restated certificate of incorporation, amended and restated bylaws and the DGCL. For information on how to obtain copies of our amended and restated certificate of incorporation and amended and restated bylaws, which are exhibits to the registration statement of which this prospectus is a part, see “Where You Can Find More Information” and “Incorporation of Certain Information Reference.”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left"/>
        <w:rPr/>
      </w:pPr>
      <w:r>
        <w:rPr>
          <w:rFonts w:ascii="Times New Roman;serif" w:hAnsi="Times New Roman;serif"/>
          <w:b w:val="false"/>
          <w:i/>
          <w:color w:val="000000"/>
          <w:sz w:val="20"/>
        </w:rPr>
        <w:t>Voting Rights</w:t>
      </w:r>
      <w:r>
        <w:rPr>
          <w:rFonts w:ascii="Times New Roman;serif" w:hAnsi="Times New Roman;serif"/>
          <w:b w:val="false"/>
          <w:color w:val="000000"/>
          <w:sz w:val="20"/>
        </w:rPr>
        <w:t>. Our common stock is entitled to one vote for each share held of record on all matters submitted to a vote of the stockholders, including the election of directors, and does not have cumulative voting rights. Accordingly, the holders of a majority of the shares of our common stock entitled to vote in any election of directors can elect all of the directors standing for election.</w:t>
      </w:r>
    </w:p>
    <w:p>
      <w:pPr>
        <w:pStyle w:val="TextBody"/>
        <w:bidi w:val="0"/>
        <w:spacing w:lineRule="auto" w:line="288" w:before="0" w:after="180"/>
        <w:jc w:val="left"/>
        <w:rPr/>
      </w:pPr>
      <w:r>
        <w:rPr>
          <w:rFonts w:ascii="Times New Roman;serif" w:hAnsi="Times New Roman;serif"/>
          <w:b w:val="false"/>
          <w:i/>
          <w:color w:val="000000"/>
          <w:sz w:val="20"/>
        </w:rPr>
        <w:t>Dividends</w:t>
      </w:r>
      <w:r>
        <w:rPr>
          <w:rFonts w:ascii="Times New Roman;serif" w:hAnsi="Times New Roman;serif"/>
          <w:b w:val="false"/>
          <w:color w:val="000000"/>
          <w:sz w:val="20"/>
        </w:rPr>
        <w:t>. Subject to preferences that may be applicable to any then-outstanding preferred stock, the holders of common stock are entitled to receive dividends, if any, as may be declared from time to time by our board of directors out of legally available funds.</w:t>
      </w:r>
    </w:p>
    <w:p>
      <w:pPr>
        <w:pStyle w:val="TextBody"/>
        <w:bidi w:val="0"/>
        <w:spacing w:lineRule="auto" w:line="288" w:before="0" w:after="180"/>
        <w:jc w:val="left"/>
        <w:rPr/>
      </w:pPr>
      <w:r>
        <w:rPr>
          <w:rFonts w:ascii="Times New Roman;serif" w:hAnsi="Times New Roman;serif"/>
          <w:b w:val="false"/>
          <w:i/>
          <w:color w:val="000000"/>
          <w:sz w:val="20"/>
        </w:rPr>
        <w:t>Liquidation, Dissolution or Winding Up</w:t>
      </w:r>
      <w:r>
        <w:rPr>
          <w:rFonts w:ascii="Times New Roman;serif" w:hAnsi="Times New Roman;serif"/>
          <w:b w:val="false"/>
          <w:color w:val="000000"/>
          <w:sz w:val="20"/>
        </w:rPr>
        <w:t>. 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pStyle w:val="TextBody"/>
        <w:bidi w:val="0"/>
        <w:spacing w:lineRule="auto" w:line="288" w:before="0" w:after="180"/>
        <w:jc w:val="left"/>
        <w:rPr/>
      </w:pPr>
      <w:r>
        <w:rPr>
          <w:rFonts w:ascii="Times New Roman;serif" w:hAnsi="Times New Roman;serif"/>
          <w:b w:val="false"/>
          <w:i/>
          <w:color w:val="000000"/>
          <w:sz w:val="20"/>
        </w:rPr>
        <w:t>Rights and Preferences</w:t>
      </w:r>
      <w:r>
        <w:rPr>
          <w:rFonts w:ascii="Times New Roman;serif" w:hAnsi="Times New Roman;serif"/>
          <w:b w:val="false"/>
          <w:color w:val="000000"/>
          <w:sz w:val="20"/>
        </w:rPr>
        <w:t>. 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pStyle w:val="TextBody"/>
        <w:bidi w:val="0"/>
        <w:spacing w:lineRule="auto" w:line="288" w:before="0" w:after="180"/>
        <w:jc w:val="left"/>
        <w:rPr/>
      </w:pPr>
      <w:r>
        <w:rPr>
          <w:rFonts w:ascii="Times New Roman;serif" w:hAnsi="Times New Roman;serif"/>
          <w:b w:val="false"/>
          <w:i/>
          <w:color w:val="000000"/>
          <w:sz w:val="20"/>
        </w:rPr>
        <w:t>Fully Paid and Nonassessable</w:t>
      </w:r>
      <w:r>
        <w:rPr>
          <w:rFonts w:ascii="Times New Roman;serif" w:hAnsi="Times New Roman;serif"/>
          <w:b w:val="false"/>
          <w:color w:val="000000"/>
          <w:sz w:val="20"/>
        </w:rPr>
        <w:t>. All of our outstanding shares of common stock are fully paid and nonassessable.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our amended and restated certificate of incorporation, our board of directors has the authority, without further action by the stockholders, to issue up to 10,000,000 shares of convertible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and stated value;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of shares we are offering;</w:t>
      </w: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liquidation preference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purchase price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dividend rate per share, dividend period, payment date or dates and method of calculation for dividends;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dividends will be cumulative or non-cumulative and, if cumulative, the date from which dividends will accumulate;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right, if any, to defer payment of dividends and the maximum length of any such deferral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procedures for any auction and remarketing,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for a sinking fund,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for redemption or repurchase, if applicable, and any restrictions on our ability to exercise those redemption and repurchase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listing of the preferred stock on any securities exchange or market;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preferred stock will be convertible into our common stock or other securities of ours, including warrants, and, if applicable, the conversion price, or how it will be calculated, and under what circumstances and the mechanism by which it may be adjusted, and the conversion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preferred stock will be exchangeable into debt securities or other securities of ours, and, if applicable, the exchange price, or how it will be calculated, and under what circumstances it may be adjusted, and the exchange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voting rights,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preemptive rights,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transfer, sale or other assignment,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interests in the preferred stock will be represented by depositary shares;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any material or special U.S. federal income tax considerations applicable to the preferred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relative ranking and preferences of the preferred stock as to dividend rights and rights if we liquidate, dissolve or wind up our affairs;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limitations on issuances of any class or series of preferred stock ranking senior to or on parity with the series of preferred stock being issued as to dividend rights and rights if we liquidate, dissolve or wind up our affairs;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specific terms, rights, preferences, privileges, qualifications or limitations of, or restrictions on the 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issue shares of preferred stock under this prospectus, the shares will be fully paid and non-assessable.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DGCL provides that the holders of preferred stock will have the right to vote separately as a class (or, in some cases, as a series) on an amendment to our certificate of incorporation if the amendment would change the par value or, unless our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Anti-Takeover Effects of Provisions of Our Amended and Restated Certificate of Incorporation, Our Amended and Restated Bylaws and Delaware Law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Anti-Takeover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Section 203 of the DGCL, which generally prohibits a public Delaware corporation from engaging in a “business combination” with an “interested stockholder” for a period of three years after the date of the transaction in which the person became an interested stockholder, unless: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prior to the date of the transaction, the board of directors of the corporation approved either the business combination or the transaction which resulted in the stockholder becoming an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interested stockholder owned at least 85% of the voting stock of the corporation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Section 203 of the DGCL defines a business combination to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merger or consolidation involving the corporation and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sale, transfer, pledge or other disposition involving the interested stockholder of 10% or more of the assets of the corporation;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 to exceptions, any transaction involving the corporation that has the effect of increasing the proportionate share of the stock of any class or series of the corporation beneficially owned by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 to exceptions, any transaction that results in the issuance or transfer by the corporation of any stock of the corporation to the interested stockholder;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receipt by the interested stockholder of the benefit of any loans, advances, guarantees, pledges or other financial benefits provided by or through the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general, Section 203 of the DGCL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Amended and Restated Certificate of Incorporation and Amended and Restated Bylaws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w:t>
      </w: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affect the price of our common stock. Among other things, our amended and restated certificate of incorporation and amended and restated bylaws: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permit our board of directors to issue up to 10,000,000 shares of preferred stock, with any rights, preferences and privileges as they may designate (including the right to approve an acquisition or other change in our control);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the authorized number of directors may be changed only by resolution of the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the board of directors or any individual director may only be removed with cause and the affirmative vote of the holders of at least 66-2/3% of the voting power of all of our then outstanding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all vacancies, including newly created directorships, may, except as otherwise required by law, be filled by the affirmative vote of a majority of directors then in office, even if less than a quorum;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divide our board of directors into three classes;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 that any action to be taken by our stockholders must be effected at a duly called annual or special meeting of stockholders and not be taken by written consent;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do not provide for cumulative voting rights (therefore allowing the holders of a majority of the shares of common stock entitled to vote in any election of directors to elect all of the directors standing for election, if they should so choose);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special meetings of our stockholders may be called only by the chairman of the board, our Chief Executive Officer or by the board of directors pursuant to a resolution adopted by a majority of the total number of authorized directors;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to the fullest extent permitted by law the Court of Chancery of the State of Delaware will be the sole and exclusive forum for (i) any derivative action or proceeding brought on our behalf, (ii) any action asserting a claim of breach of a fiduciary duty owed by any of our directors or officers to us or our stockholders, (iii) any action asserting a claim against us arising pursuant to any provision of the Delaware General Corporation Law or our certificate of incorporation or bylaws, and (iv) any action asserting a claim against us governed by the internal affairs doctrine. The provision would not apply to suits brought to enforce a duty or liability created by the Securities Act or the Exchange Act.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Equiniti Trust Company, LLC. The transfer agent and registrar’s address is 6201 15th Avenue, Brooklyn, NY 11219. The transfer agent for any series of preferred stock that we may offer under this prospectus will be named and described in the prospectus supplement for that series.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Listing on the Nasdaq Global Select Market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under the symbol “ALLO.”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describe in the applicable prospectus supplement the terms of the series of debt securities being offered,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of the series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limit upon the aggregate principal amount that may be issued;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maturity date or 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form of the debt securities of the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applicability of any guarantees;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or not the debt securities will be secured or unsecured, and the terms of any secured debt;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debt securities rank as senior debt, senior subordinated debt, subordinated debt or any combination thereof, and the terms of any subordination;</w:t>
      </w: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right, if any, to defer payment of interest and the maximum length of any such deferral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denominations in which we will issue the series of debt securities, if other than denominations of $1,000 and any integral multiple thereof;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other than the full principal amount thereof, the portion of the principal amount of debt securities of the series which shall be payable upon declaration of acceleration of the maturity thereof;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to or changes in the covenants applicable to the particular debt securities being issued, including, among others, the consolidation, merger or sale covenant;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to or changes in the events of default with respect to the securities and any change in the right of the trustee or the holders to declare the principal, premium, if any, and interest, if any, with respect to such securities to be due and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to or changes in or deletions of the provisions relating to covenant defeasance and legal defeasance;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to or changes in the provisions relating to satisfaction and discharge of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to or changes in the provisions relating to the modification of the indenture both with and without the consent of holders of debt securities issued under the indenture;</w:t>
      </w: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of payment of debt securities if other than U.S. dollars and the manner of determining the equivalent amount in U.S. dollars;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interest will be payable in cash or additional debt securities at our or the holders’ option and the terms and conditions upon which the election may be made;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and conditions, if any, upon which we will pay amounts in addition to the stated interest, premium, if any, and principal amounts of the debt securities of the series to any holder that is not a “United States person” for federal tax purposes;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restrictions on transfer, sale or assignment of the debt securities of the series;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Conversion or Exchange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Consolidation, Merger or 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Events of Default under the Indenture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provide otherwise in the prospectus supplement applicable to a particular series of debt securities, the following are events of default under the indenture with respect to any series of debt securities that we may issue: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specified events of bankruptcy, insolvency or reorganization occur.</w:t>
      </w: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direction so given by the holder is not in conflict with any law or the applicable indenture;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 to its duties under the Trust Indenture Act, the trustee need not take any action that might involve it in personal liability or might be unduly prejudicial to the holders not involved in the proceeding.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holder of the debt securities of any series will have the right to institute a proceeding under the indenture or to appoint a receiver or trustee, or to seek other remedies only if: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holder has given written notice to the trustee of a continuing event of default with respect to that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holders of at least 25% in aggregate principal amount of the outstanding debt securities of that series have made written request;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such holders have offered to the trustee indemnity satisfactory to it against the costs, expenses and liabilities to be incurred by the trustee in compliance with the request;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limitations do not apply to a suit instituted by a holder of debt securities if we default in the payment of the principal, premium, if any, or interest on, the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periodically file statements with the trustee regarding our compliance with specified covenants in the indenture.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Modification of Indenture; Waiver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and the trustee may change an indenture without the consent of any holders with respect to specific matters: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cure any ambiguity, defect or inconsistency in the indenture or in the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the provisions described above under “Description of Debt Securities-Consolidation, Merger or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uncertificated debt securities in addition to or in place of certificated debt securities;</w:t>
      </w: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to, delete from or revise the conditions, limitations, and restrictions on the authorized amount, terms, or purposes of issue, authentication and delivery of debt securities, as set forth in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make any change that does not adversely affect the interests of any holder of debt securities of any series in any material respect;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evidence and provide for the acceptance of appointment under any indenture by a successor trustee;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any requirements of the SEC in connection with the qualification of any indenture under the Trust Indenture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extending the fixed maturity of any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reducing the principal amount, reducing the rate of or extending the time of payment of interest, or reducing any premium payable upon the redemption of any series of any debt securities;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reducing the percentage of debt securities, the holders of which are required to consent to any amendment, supplement, modification or waiver.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Discharge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provides that we can elect to be discharged from our obligations with respect to one or more series of debt securities, except for specified obligations, including obligations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for payment;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register the transfer or exchange of debt securities of the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replace stolen, lost or mutilated debt securities of the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pay principal of and premium and interest on any debt securities of the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maintain paying agencies;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hold monies for payment in trust;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recover excess money held by the trustee;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compensate and indemnify the trustee;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appoint any successor trustee.</w:t>
      </w: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Form, Exchange and Transfer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elect to redeem the debt securities of any series, we will not be required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register the transfer of or exchange of any debt securities so selected for redemption, in whole or in part, except the unredeemed portion of any debt securities we are redeeming in part.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Information Concerning the Trustee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Payment and Paying Agents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and the debt securities will be governed by and construed in accordance with the internal laws of the State of New York, except to the extent that the Trust Indenture Act of 1939 is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filed forms of the warrant agreements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describe in the applicable prospectus supplement the terms relating to a series of warrants being offered,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of such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offering price or prices and aggregate number of warrants offered;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or currencies for which the warrants may be purchased;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designation and terms of the securities with which the warrants are issued and the number of warrants issued with each such security or each principal amount of such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date on and after which the warrants and the related securities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minimum or maximum amount of such warrants which may be exercised at any one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 of any merger, consolidation, sale or other disposition of our business on the warrant agreements and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of any rights to redeem or call the warrants;</w:t>
      </w: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of any rights to force the exercise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for changes to or adjustments in the exercise price or number of securities issuable upon exercise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dates on which the right to exercise the warrants will commence and expire;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manner in which the warrant agreements and warrants may be modified;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any material or special U.S. federal income tax consequences of holding or exercising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of the securities issuable upon exercise of the warrants;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specific terms, preferences, rights or limitations of or restrictions on the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Before exercising their warrants, holders of warrants will not have any of the rights of holders of the securities purchasable upon such exercise,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warrants to purchase debt securities, the right to receive payments of principal of, or premium, if any, or interest on, the debt securities purchasable upon exercise or to enforce covenants in the applicable indenture;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warrants to purchase common stock or preferred stock, the right to receive dividends, if any, or, payments upon our liquidation, dissolution or winding up or to exercise voting rights, if any.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Exercise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Enforceability of Rights by Holders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warrant agent will act solely as our agent under the applicable warrant agreement and will not assume any obligation or relationship of agency or trust with any holder of any warrant. A single bank or trust company may act </w:t>
      </w: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OWNERSHIP OF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Book-Entry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Street Name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global security may be terminated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Legal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once we make a payment or give a notice to the legal holder, we have no further responsibility for the payment or notice even if that legal holder is required, under agreements with its participants or customers or by </w:t>
      </w: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Considerations for Indirect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you hold securities through a bank, broker or other financial institution, either in book-entry form because the securities are represented by one or more global securities or in street name, you should check with your own institution to find out: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how it handles securities payments and notices;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it imposes fees or charges;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how it would handle a request for the holders’ consent, if ever required;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and how you can instruct it to send you securities registered in your own name so you can be a holder, if that is permitted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how it would exercise rights under the securities if there were a default or other event triggering the need for holders to act to protect their interests;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securities are in book-entry form, how the depositary’s rules and procedures will affect these matters.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global security is a security that represents one or any other number of individual securities held by a depositary. Generally, all securities represented by the same global securities will have the same terms.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DTC will be the depositary for all securities issued in book-entry 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Considerations for Global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securities are issued only as global securities, an investor should be aware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investor cannot cause the securities to be registered in his or her name, and cannot obtain non-global certificates for his or her interest in the securities, except in the special situations we describe below;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investor will be an indirect holder and must look to his or her own bank or broker for payments on the securities and protection of his or her legal rights relating to the securities, as we describe above;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investor may not be able to sell interests in the securities to some insurance companies and to other institutions that are required by law to own their securities in non-book-entry 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investor may not be able to pledge his or her interest in the global security in circumstances where certificates representing the securities must be delivered to the lender or other beneficiary of the pledge in order for the pledge to be effective;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depositary’s policies, which may change from time to time, will govern payments, transfers, exchanges and other matters relating to an investor’s interest in the global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and any applicable trustee have no responsibility for any aspect of the depositary’s actions or for its records of ownership interests in the global security, nor will we or any applicable trustee supervise the depositary in any way;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depositary may, and we understand that DTC will, require that those who purchase and sell interests in the global security within its book-entry system use immediately available funds, and your broker or bank may require you to do so as well;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financial institutions that participate in the depositary’s book-entry system, and through which an investor holds its interest in the global security, may also have their own policies affecting payments, notices and other matters relating to the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may be more than one financial intermediary in the chain of ownership for an investor. We do not monitor and are not responsible for the actions of any of those intermediaries.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Situations When a Global Security Will Be Terminated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provide otherwise in the applicable prospectus supplement, the global security will terminate when the following special situations occur: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depositary notifies us that it is unwilling, unable or no longer qualified to continue as depositary for that global security and we do not appoint another institution to act as depositary within 90 days;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notify any applicable trustee that we wish to terminate that global security;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an event of default has occurred with regard to securities represented by that global security and has not been cured or waived.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fixed price or prices, which may be changed;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or through the facilities of the Nasdaq Global Select Market or any other securities exchange or quotation or trading service on which such securities may be listed, quoted or traded at the time of sale; and/or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or through a market maker other than on the Nasdaq Global Select Market or such other securities exchanges or quotation or trading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Such “at the market offerings”, if any, may be conducted by underwriters acting as principal or agent.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name or names of any underwriters, dealers or agents,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purchase price of the securities and the proceeds we will receive from the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over-allotment options under which underwriters may purchase additional securities from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agency fees or underwriting discounts and other items constituting agents’ or underwriters’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public offering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or concessions allowed or reallowed or paid to dealers;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securities exchange or market on which the securities may be listed.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Only underwriters named in the prospectus supplement are underwriters of the securities offered by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than common stock, all securities we offer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agents and underwriters who are qualified market makers on the Nasdaq Global Select Market may engage in passive market making transactions in the securities on the Nasdaq Global Select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compliance with guidelines of the Financial Industry Regulatory Authority (FINRA), the maximum consideration or discount to be received by any FINRA member or independent broker dealer may not exceed 8% of the aggregate amount of the securities offered pursuant to this prospectus and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specific terms of any lock-up provisions with respect to any given offering will be described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in the applicable prospectus supplement, certain legal matters in connection with the offering and the validity of the securities offered by this prospectus, and any supplement thereto, will be passed upon by Cooley LLP. Additional legal matters may be passed upon for us or any underwriters, dealers or agents, by counsel that we will name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Ernst &amp; Young LLP, independent registered public accounting firm, has audited our consolidated financial statements included in our Annual Report on Form 10-K for the year ended December 31, 2023,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The SEC maintains a website that contains reports, proxy statements and other information regarding issuers that file electronically with the SEC, including Allogene. The address of the SEC website is www.sec.gov.</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maintain a website at www.allogene.com. Information contained in or accessible through our website does not constitute a part of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the effectiveness of the registration statement, and (ii) after the effectiveness of the registration statement but prior to the termination of all offerings of securities covered by this prospectus: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information specifically incorporated by reference into our Annual Report on Form 10-K, as amended, for the year ended December 31, 2022 from our Definitive Proxy Statement on Schedule 14A, filed with the SEC on </w:t>
      </w:r>
      <w:hyperlink r:id="rId15">
        <w:r>
          <w:rPr>
            <w:rStyle w:val="InternetLink"/>
            <w:rFonts w:ascii="Times New Roman;serif" w:hAnsi="Times New Roman;serif"/>
            <w:b w:val="false"/>
            <w:color w:val="0000FF"/>
            <w:sz w:val="20"/>
            <w:u w:val="single"/>
          </w:rPr>
          <w:t>April 24, 2023</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Form 10-K for the year ended December 31, 2023, filed with the SEC on </w:t>
      </w:r>
      <w:hyperlink r:id="rId16">
        <w:r>
          <w:rPr>
            <w:rStyle w:val="InternetLink"/>
            <w:rFonts w:ascii="Times New Roman;serif" w:hAnsi="Times New Roman;serif"/>
            <w:b w:val="false"/>
            <w:color w:val="0000FF"/>
            <w:sz w:val="20"/>
            <w:u w:val="single"/>
          </w:rPr>
          <w:t>March 14, 2024</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17">
        <w:r>
          <w:rPr>
            <w:rStyle w:val="InternetLink"/>
            <w:rFonts w:ascii="Times New Roman;serif" w:hAnsi="Times New Roman;serif"/>
            <w:b w:val="false"/>
            <w:color w:val="0000FF"/>
            <w:sz w:val="20"/>
            <w:u w:val="single"/>
          </w:rPr>
          <w:t>January 5, 2024</w:t>
        </w:r>
      </w:hyperlink>
      <w:r>
        <w:rPr>
          <w:rFonts w:ascii="Times New Roman;serif" w:hAnsi="Times New Roman;serif"/>
          <w:b w:val="false"/>
          <w:color w:val="000000"/>
          <w:sz w:val="20"/>
        </w:rPr>
        <w:t xml:space="preserve">, </w:t>
      </w:r>
      <w:hyperlink r:id="rId18">
        <w:r>
          <w:rPr>
            <w:rStyle w:val="InternetLink"/>
            <w:rFonts w:ascii="Times New Roman;serif" w:hAnsi="Times New Roman;serif"/>
            <w:b w:val="false"/>
            <w:color w:val="0000FF"/>
            <w:sz w:val="20"/>
            <w:u w:val="single"/>
          </w:rPr>
          <w:t>January 31, 2024</w:t>
        </w:r>
      </w:hyperlink>
      <w:r>
        <w:rPr>
          <w:color w:val="000000"/>
        </w:rPr>
        <w:t xml:space="preserve"> </w:t>
      </w:r>
      <w:r>
        <w:rPr>
          <w:rFonts w:ascii="Times New Roman;serif" w:hAnsi="Times New Roman;serif"/>
          <w:b w:val="false"/>
          <w:color w:val="000000"/>
          <w:sz w:val="20"/>
        </w:rPr>
        <w:t xml:space="preserve">and </w:t>
      </w:r>
      <w:hyperlink r:id="rId19">
        <w:r>
          <w:rPr>
            <w:rStyle w:val="InternetLink"/>
            <w:rFonts w:ascii="Times New Roman;serif" w:hAnsi="Times New Roman;serif"/>
            <w:b w:val="false"/>
            <w:color w:val="0000FF"/>
            <w:sz w:val="20"/>
            <w:u w:val="single"/>
          </w:rPr>
          <w:t>February 16, 2024</w:t>
        </w:r>
      </w:hyperlink>
      <w:r>
        <w:rPr>
          <w:rFonts w:ascii="Times New Roman;serif" w:hAnsi="Times New Roman;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which is registered under Section 12 of the Exchange Act, described in </w:t>
      </w:r>
      <w:hyperlink r:id="rId20">
        <w:r>
          <w:rPr>
            <w:rStyle w:val="InternetLink"/>
            <w:rFonts w:ascii="Times New Roman;serif" w:hAnsi="Times New Roman;serif"/>
            <w:b w:val="false"/>
            <w:color w:val="0000FF"/>
            <w:sz w:val="20"/>
            <w:u w:val="single"/>
          </w:rPr>
          <w:t>Exhibit 4.3</w:t>
        </w:r>
      </w:hyperlink>
      <w:r>
        <w:rPr>
          <w:color w:val="000000"/>
        </w:rPr>
        <w:t xml:space="preserve"> </w:t>
      </w:r>
      <w:r>
        <w:rPr>
          <w:rFonts w:ascii="Times New Roman;serif" w:hAnsi="Times New Roman;serif"/>
          <w:b w:val="false"/>
          <w:color w:val="000000"/>
          <w:sz w:val="20"/>
        </w:rPr>
        <w:t>to our Annual Report on Form 10-K for the year ended December 31, 2022, filed with the SEC on February 28, 2023, including all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210 East Grand Avenue, South San Francisco, California 94080, or by telephoning us at (650) 457-2700.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Up to $135,000,000</w:t>
      </w:r>
    </w:p>
    <w:p>
      <w:pPr>
        <w:pStyle w:val="TextBody"/>
        <w:bidi w:val="0"/>
        <w:spacing w:before="0" w:after="600"/>
        <w:jc w:val="center"/>
        <w:rPr/>
      </w:pPr>
      <w:r>
        <w:rPr/>
        <w:drawing>
          <wp:inline distT="0" distB="0" distL="0" distR="0">
            <wp:extent cx="2466975" cy="609600"/>
            <wp:effectExtent l="0" t="0" r="0" b="0"/>
            <wp:docPr id="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 descr=""/>
                    <pic:cNvPicPr>
                      <a:picLocks noChangeAspect="1" noChangeArrowheads="1"/>
                    </pic:cNvPicPr>
                  </pic:nvPicPr>
                  <pic:blipFill>
                    <a:blip r:embed="rId21"/>
                    <a:stretch>
                      <a:fillRect/>
                    </a:stretch>
                  </pic:blipFill>
                  <pic:spPr bwMode="auto">
                    <a:xfrm>
                      <a:off x="0" y="0"/>
                      <a:ext cx="2466975" cy="609600"/>
                    </a:xfrm>
                    <a:prstGeom prst="rect">
                      <a:avLst/>
                    </a:prstGeom>
                  </pic:spPr>
                </pic:pic>
              </a:graphicData>
            </a:graphic>
          </wp:inline>
        </w:drawing>
      </w:r>
    </w:p>
    <w:p>
      <w:pPr>
        <w:pStyle w:val="TextBody"/>
        <w:bidi w:val="0"/>
        <w:spacing w:lineRule="auto" w:line="288" w:before="0" w:after="160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PROSPECTUS SUPPLEMENT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453" w:type="dxa"/>
        <w:jc w:val="center"/>
        <w:tblInd w:w="0" w:type="dxa"/>
        <w:tblLayout w:type="fixed"/>
        <w:tblCellMar>
          <w:top w:w="28" w:type="dxa"/>
          <w:left w:w="28" w:type="dxa"/>
          <w:bottom w:w="28" w:type="dxa"/>
          <w:right w:w="28" w:type="dxa"/>
        </w:tblCellMar>
      </w:tblPr>
      <w:tblGrid>
        <w:gridCol w:w="124"/>
        <w:gridCol w:w="109"/>
        <w:gridCol w:w="109"/>
        <w:gridCol w:w="579"/>
        <w:gridCol w:w="579"/>
        <w:gridCol w:w="5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36"/>
              </w:rPr>
            </w:pPr>
            <w:r>
              <w:rPr>
                <w:rFonts w:ascii="Times New Roman;serif" w:hAnsi="Times New Roman;serif"/>
                <w:b/>
                <w:color w:val="000000"/>
                <w:sz w:val="36"/>
              </w:rPr>
              <w:t>TD Cowen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June 22,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737287/000162828026017242/allo-20251231.htm" TargetMode="External"/><Relationship Id="rId4" Type="http://schemas.openxmlformats.org/officeDocument/2006/relationships/hyperlink" Target="https://www.sec.gov/ix?doc=/Archives/edgar/data/0001737287/000162828026017242/allo-20251231.htm" TargetMode="External"/><Relationship Id="rId5" Type="http://schemas.openxmlformats.org/officeDocument/2006/relationships/hyperlink" Target="https://www.sec.gov/ix?doc=/Archives/edgar/data/0001737287/000162828026017242/allo-20251231.htm" TargetMode="External"/><Relationship Id="rId6" Type="http://schemas.openxmlformats.org/officeDocument/2006/relationships/hyperlink" Target="https://www.sec.gov/ix?doc=/Archives/edgar/data/0001737287/000162828026028948/allo-20260430.htm" TargetMode="External"/><Relationship Id="rId7" Type="http://schemas.openxmlformats.org/officeDocument/2006/relationships/hyperlink" Target="https://www.sec.gov/ix?doc=/Archives/edgar/data/0001737287/000162828026034585/allo-20260331.htm" TargetMode="External"/><Relationship Id="rId8" Type="http://schemas.openxmlformats.org/officeDocument/2006/relationships/hyperlink" Target="https://www.sec.gov/ix?doc=/Archives/edgar/data/0001737287/000119312526151999/d49895d8k.htm" TargetMode="External"/><Relationship Id="rId9" Type="http://schemas.openxmlformats.org/officeDocument/2006/relationships/hyperlink" Target="https://www.sec.gov/ix?doc=/Archives/edgar/data/0001737287/000119312526152866/d249901d8k.htm" TargetMode="External"/><Relationship Id="rId10" Type="http://schemas.openxmlformats.org/officeDocument/2006/relationships/hyperlink" Target="https://www.sec.gov/ix?doc=/Archives/edgar/data/0001737287/000119312526157140/d283634d8k.htm" TargetMode="External"/><Relationship Id="rId11" Type="http://schemas.openxmlformats.org/officeDocument/2006/relationships/hyperlink" Target="https://www.sec.gov/ix?doc=/Archives/edgar/data/0001737287/000162828026034583/allo-20260512.htm" TargetMode="External"/><Relationship Id="rId12" Type="http://schemas.openxmlformats.org/officeDocument/2006/relationships/hyperlink" Target="https://www.sec.gov/ix?doc=/Archives/edgar/data/0001737287/000119312526245484/d65280d8k.htm" TargetMode="External"/><Relationship Id="rId13" Type="http://schemas.openxmlformats.org/officeDocument/2006/relationships/hyperlink" Target="https://www.sec.gov/Archives/edgar/data/1737287/000173728723000018/allo-20221231xex43.htm" TargetMode="External"/><Relationship Id="rId14" Type="http://schemas.openxmlformats.org/officeDocument/2006/relationships/image" Target="media/image1.jpeg"/><Relationship Id="rId15" Type="http://schemas.openxmlformats.org/officeDocument/2006/relationships/hyperlink" Target="https://www.sec.gov/ix?doc=/Archives/edgar/data/0001737287/000173728723000041/allo-20230422.htm" TargetMode="External"/><Relationship Id="rId16" Type="http://schemas.openxmlformats.org/officeDocument/2006/relationships/hyperlink" Target="https://www.sec.gov/ix?doc=/Archives/edgar/data/1737287/000173728724000021/allo-20231231.htm" TargetMode="External"/><Relationship Id="rId17" Type="http://schemas.openxmlformats.org/officeDocument/2006/relationships/hyperlink" Target="https://www.sec.gov/ix?doc=/Archives/edgar/data/0001737287/000119312524002888/d103673d8k.htm" TargetMode="External"/><Relationship Id="rId18" Type="http://schemas.openxmlformats.org/officeDocument/2006/relationships/hyperlink" Target="https://www.sec.gov/ix?doc=/Archives/edgar/data/0001737287/000173728724000003/allo-20240125.htm" TargetMode="External"/><Relationship Id="rId19" Type="http://schemas.openxmlformats.org/officeDocument/2006/relationships/hyperlink" Target="https://www.sec.gov/ix?doc=/Archives/edgar/data/0001737287/000119312524038107/d754358d8k.htm" TargetMode="External"/><Relationship Id="rId20" Type="http://schemas.openxmlformats.org/officeDocument/2006/relationships/hyperlink" Target="https://www.sec.gov/Archives/edgar/data/1737287/000173728723000018/allo-20221231xex43.htm" TargetMode="External"/><Relationship Id="rId21" Type="http://schemas.openxmlformats.org/officeDocument/2006/relationships/image" Target="media/image1.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21605</Words>
  <Characters>113151</Characters>
  <CharactersWithSpaces>134148</CharactersWithSpaces>
  <Paragraphs>664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