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filed with the Securities and Exchange Commission on August 12, 2026</w:t>
      </w:r>
    </w:p>
    <w:p>
      <w:pPr>
        <w:pStyle w:val="TextBody"/>
        <w:bidi w:val="0"/>
        <w:spacing w:lineRule="auto" w:line="288" w:before="0" w:after="0"/>
        <w:jc w:val="right"/>
        <w:rPr>
          <w:rFonts w:ascii="Times New Roman;serif" w:hAnsi="Times New Roman;serif"/>
          <w:b/>
          <w:color w:val="000000"/>
          <w:sz w:val="16"/>
        </w:rPr>
      </w:pPr>
      <w:r>
        <w:rPr>
          <w:rFonts w:ascii="Times New Roman;serif" w:hAnsi="Times New Roman;serif"/>
          <w:b/>
          <w:color w:val="000000"/>
          <w:sz w:val="16"/>
        </w:rPr>
        <w:t>Registration No. 333-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S-3</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REGISTRATION STATEMENT</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UNDER</w:t>
      </w:r>
    </w:p>
    <w:p>
      <w:pPr>
        <w:pStyle w:val="TextBody"/>
        <w:bidi w:val="0"/>
        <w:spacing w:lineRule="auto" w:line="288" w:before="0" w:after="180"/>
        <w:jc w:val="center"/>
        <w:rPr>
          <w:rFonts w:ascii="Times New Roman;serif" w:hAnsi="Times New Roman;serif"/>
          <w:b/>
          <w:i/>
          <w:color w:val="000000"/>
          <w:sz w:val="20"/>
        </w:rPr>
      </w:pPr>
      <w:r>
        <w:rPr>
          <w:rFonts w:ascii="Times New Roman;serif" w:hAnsi="Times New Roman;serif"/>
          <w:b/>
          <w:i/>
          <w:color w:val="000000"/>
          <w:sz w:val="20"/>
        </w:rPr>
        <w:t>THE SECURITIES ACT OF 1933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Allogene Therapeutics,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20" w:type="dxa"/>
        <w:jc w:val="center"/>
        <w:tblInd w:w="0" w:type="dxa"/>
        <w:tblLayout w:type="fixed"/>
        <w:tblCellMar>
          <w:top w:w="28" w:type="dxa"/>
          <w:left w:w="28" w:type="dxa"/>
          <w:bottom w:w="28" w:type="dxa"/>
          <w:right w:w="28" w:type="dxa"/>
        </w:tblCellMar>
      </w:tblPr>
      <w:tblGrid>
        <w:gridCol w:w="717"/>
        <w:gridCol w:w="628"/>
        <w:gridCol w:w="634"/>
        <w:gridCol w:w="109"/>
        <w:gridCol w:w="109"/>
        <w:gridCol w:w="109"/>
        <w:gridCol w:w="442"/>
        <w:gridCol w:w="442"/>
        <w:gridCol w:w="630"/>
      </w:tblGrid>
      <w:tr>
        <w:trPr/>
        <w:tc>
          <w:tcPr>
            <w:tcW w:w="717"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82-3562771</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Identification Number)</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210 East Grand Avenue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South San Francisco, California 94080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(650) 457-2700</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Zachary Roberts, M.D., Ph.D.</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President and Chief Executive Officer</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Allogene Therapeutics,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210 East Grand Avenue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South San Francisco, California 94080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(650) 457-2700</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(Name, address, including zip code, and telephone number, including area code, of agent for service)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i/>
          <w:color w:val="000000"/>
          <w:sz w:val="16"/>
        </w:rPr>
      </w:pPr>
      <w:r>
        <w:rPr>
          <w:rFonts w:ascii="Times New Roman;serif" w:hAnsi="Times New Roman;serif"/>
          <w:b/>
          <w:i/>
          <w:color w:val="000000"/>
          <w:sz w:val="16"/>
        </w:rPr>
        <w:t>Copies to:</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Charles J. Bair, Esq.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Asa M. Henin, Esq.</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Cooley LLP</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10265 Science Center Drive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San Diego, California 92121</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(858) 550-6000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From time to time after the effective date of this Registration Statement</w:t>
      </w:r>
    </w:p>
    <w:p>
      <w:pPr>
        <w:pStyle w:val="TextBody"/>
        <w:bidi w:val="0"/>
        <w:spacing w:lineRule="auto" w:line="288" w:before="0" w:after="180"/>
        <w:jc w:val="center"/>
        <w:rPr>
          <w:rFonts w:ascii="Times New Roman;serif" w:hAnsi="Times New Roman;serif"/>
          <w:b/>
          <w:color w:val="000000"/>
          <w:sz w:val="14"/>
        </w:rPr>
      </w:pPr>
      <w:r>
        <w:rPr>
          <w:rFonts w:ascii="Times New Roman;serif" w:hAnsi="Times New Roman;serif"/>
          <w:b/>
          <w:color w:val="000000"/>
          <w:sz w:val="14"/>
        </w:rPr>
        <w:t>(Approximate date of commencement of proposed sale to the public)</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the only securities being registered on this Form are being offered pursuant to dividend or interest reinvestment plans, please check the following box.☐</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filed pursuant to Rule 462(c) under the Securities Act, check the following box and list the Securities Act registration statement number of the earlier effective registration statement for the same offering.☐</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registration statement pursuant to General Instruction I.D. or a post-effective amendment thereto that shall become effective upon filing with the Commission pursuant to Rule 462(e) under the Securities Act, check the following box.☐</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If this Form is a post-effective amendment to a registration statement filed pursuant to General Instruction I.D. filed to register additional securities or additional classes of securities pursuant to Rule 413(b) under the Securities Act, check the following box.☐</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2" w:type="dxa"/>
        <w:jc w:val="center"/>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DE1A1E"/>
          <w:sz w:val="20"/>
        </w:rPr>
      </w:pPr>
      <w:r>
        <w:rPr>
          <w:rFonts w:ascii="Times New Roman;serif" w:hAnsi="Times New Roman;serif"/>
          <w:b/>
          <w:color w:val="DE1A1E"/>
          <w:sz w:val="20"/>
        </w:rPr>
        <w:t>The information in this prospectus is not complete and may be changed. We may not sell these securities or accept an offer to buy these securities until the registration statement filed with the Securities and Exchange Commission is effective. This prospectus is not an offer to sell these securities and it is not soliciting offers to buy these securities in any state where such offer or sale is not permitted.</w:t>
      </w:r>
    </w:p>
    <w:p>
      <w:pPr>
        <w:pStyle w:val="TextBody"/>
        <w:bidi w:val="0"/>
        <w:spacing w:lineRule="auto" w:line="288" w:before="0" w:after="0"/>
        <w:jc w:val="center"/>
        <w:rPr>
          <w:rFonts w:ascii="Times New Roman;serif" w:hAnsi="Times New Roman;serif"/>
          <w:b/>
          <w:color w:val="DE1A1E"/>
          <w:sz w:val="20"/>
        </w:rPr>
      </w:pPr>
      <w:r>
        <w:rPr>
          <w:rFonts w:ascii="Times New Roman;serif" w:hAnsi="Times New Roman;serif"/>
          <w:b/>
          <w:color w:val="DE1A1E"/>
          <w:sz w:val="20"/>
        </w:rPr>
        <w:t>SUBJECT TO COMPLETION, DATED AUGUST 12, 2026</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0"/>
        <w:jc w:val="center"/>
        <w:rPr/>
      </w:pPr>
      <w:r>
        <w:rPr/>
        <w:drawing>
          <wp:inline distT="0" distB="0" distL="0" distR="0">
            <wp:extent cx="2619375" cy="63817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619375" cy="63817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$500,000,000</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Warrants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offer and sell up to an aggregate amount of $500,000,000 of any combination of shares of our common stock, shares of our preferred stock, debt securities and warrants to purchase any of such securities in one or more offerings as described in this prospectus. We may also offer securities as may be issuable upon conversion, redemption, repurchase, exchange or exercise of any securities registered hereunder, including any applicable antidilution provisions.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a general description of the securities we may offer. Each time we offer securities, we will specify in an accompanying prospectus supplement the terms of the securities being offered.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This prospectus may not be used to consummate a sale of any securities unless accompanied by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traded on the Nasdaq Global Select Market under the symbol “ALLO.” On August 11, 2026, the last reported sale price of our common stock was $2.12 per share. The applicable prospectus supplement will contain information, where applicable, as to any other listing on the Nasdaq Global Select Market or any securities market or other exchange of the securities, if any, covered by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these securities directly to investors, through agents designated from time to time or to or through underwriters or dealers, on a continuous or delayed basis. For additional information on the methods of sale, you should refer to the section titled “Plan of Distribution” in this prospectus.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color w:val="000000"/>
          <w:sz w:val="20"/>
        </w:rPr>
        <w:t>Investing in our securities involves a high degree of risk. You should carefully review the risks and uncertainties described under the heading “</w:t>
      </w:r>
      <w:hyperlink w:anchor="idffd061d5efa4fedb74c028eba819da7_16">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on page </w:t>
      </w:r>
      <w:hyperlink w:anchor="idffd061d5efa4fedb74c028eba819da7_16">
        <w:r>
          <w:rPr>
            <w:rStyle w:val="InternetLink"/>
            <w:rFonts w:ascii="Times New Roman;serif" w:hAnsi="Times New Roman;serif"/>
            <w:b/>
            <w:color w:val="0000FF"/>
            <w:sz w:val="20"/>
            <w:u w:val="single"/>
          </w:rPr>
          <w:t>4</w:t>
        </w:r>
      </w:hyperlink>
      <w:r>
        <w:rPr>
          <w:color w:val="000000"/>
        </w:rPr>
        <w:t xml:space="preserve"> </w:t>
      </w:r>
      <w:r>
        <w:rPr>
          <w:rFonts w:ascii="Times New Roman;serif" w:hAnsi="Times New Roman;serif"/>
          <w:b/>
          <w:color w:val="000000"/>
          <w:sz w:val="20"/>
        </w:rPr>
        <w:t>of this prospectus as well as those contained in the applicable prospectus supplement and any related free writing prospectus, and under similar headings in the other documents that are incorporated by reference into this prospectus.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3"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361" w:type="dxa"/>
        <w:jc w:val="left"/>
        <w:tblInd w:w="0" w:type="dxa"/>
        <w:tblLayout w:type="fixed"/>
        <w:tblCellMar>
          <w:top w:w="28" w:type="dxa"/>
          <w:left w:w="28" w:type="dxa"/>
          <w:bottom w:w="28" w:type="dxa"/>
          <w:right w:w="28" w:type="dxa"/>
        </w:tblCellMar>
      </w:tblPr>
      <w:tblGrid>
        <w:gridCol w:w="2118"/>
        <w:gridCol w:w="1864"/>
        <w:gridCol w:w="1868"/>
        <w:gridCol w:w="149"/>
        <w:gridCol w:w="149"/>
        <w:gridCol w:w="213"/>
      </w:tblGrid>
      <w:tr>
        <w:trPr/>
        <w:tc>
          <w:tcPr>
            <w:tcW w:w="2118"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10">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ffd061d5efa4fedb74c028eba819da7_10">
              <w:r>
                <w:rPr>
                  <w:rStyle w:val="InternetLink"/>
                  <w:rFonts w:ascii="Times New Roman;serif" w:hAnsi="Times New Roman;serif"/>
                  <w:b w:val="false"/>
                  <w:color w:val="0000FF"/>
                  <w:sz w:val="20"/>
                  <w:u w:val="single"/>
                </w:rPr>
                <w:t>ii</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13">
              <w:r>
                <w:rPr>
                  <w:rStyle w:val="InternetLink"/>
                  <w:rFonts w:ascii="Times New Roman;serif" w:hAnsi="Times New Roman;serif"/>
                  <w:b w:val="false"/>
                  <w:color w:val="0000FF"/>
                  <w:sz w:val="20"/>
                  <w:u w:val="single"/>
                </w:rPr>
                <w:t>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13">
              <w:r>
                <w:rPr>
                  <w:rStyle w:val="InternetLink"/>
                  <w:rFonts w:ascii="Times New Roman;serif" w:hAnsi="Times New Roman;serif"/>
                  <w:b w:val="false"/>
                  <w:color w:val="0000FF"/>
                  <w:sz w:val="20"/>
                  <w:u w:val="single"/>
                </w:rPr>
                <w:t>1</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16">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16">
              <w:r>
                <w:rPr>
                  <w:rStyle w:val="InternetLink"/>
                  <w:rFonts w:ascii="Times New Roman;serif" w:hAnsi="Times New Roman;serif"/>
                  <w:b w:val="false"/>
                  <w:color w:val="0000FF"/>
                  <w:sz w:val="20"/>
                  <w:u w:val="single"/>
                </w:rPr>
                <w:t>4</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19">
              <w:r>
                <w:rPr>
                  <w:rStyle w:val="InternetLink"/>
                  <w:rFonts w:ascii="Times New Roman;serif" w:hAnsi="Times New Roman;serif"/>
                  <w:b w:val="false"/>
                  <w:color w:val="0000FF"/>
                  <w:sz w:val="20"/>
                  <w:u w:val="single"/>
                </w:rPr>
                <w:t>SPECIAL 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19">
              <w:r>
                <w:rPr>
                  <w:rStyle w:val="InternetLink"/>
                  <w:rFonts w:ascii="Times New Roman;serif" w:hAnsi="Times New Roman;serif"/>
                  <w:b w:val="false"/>
                  <w:color w:val="0000FF"/>
                  <w:sz w:val="20"/>
                  <w:u w:val="single"/>
                </w:rPr>
                <w:t>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22">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22">
              <w:r>
                <w:rPr>
                  <w:rStyle w:val="InternetLink"/>
                  <w:rFonts w:ascii="Times New Roman;serif" w:hAnsi="Times New Roman;serif"/>
                  <w:b w:val="false"/>
                  <w:color w:val="0000FF"/>
                  <w:sz w:val="20"/>
                  <w:u w:val="single"/>
                </w:rPr>
                <w:t>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25">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25">
              <w:r>
                <w:rPr>
                  <w:rStyle w:val="InternetLink"/>
                  <w:rFonts w:ascii="Times New Roman;serif" w:hAnsi="Times New Roman;serif"/>
                  <w:b w:val="false"/>
                  <w:color w:val="0000FF"/>
                  <w:sz w:val="20"/>
                  <w:u w:val="single"/>
                </w:rPr>
                <w:t>8</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28">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28">
              <w:r>
                <w:rPr>
                  <w:rStyle w:val="InternetLink"/>
                  <w:rFonts w:ascii="Times New Roman;serif" w:hAnsi="Times New Roman;serif"/>
                  <w:b w:val="false"/>
                  <w:color w:val="0000FF"/>
                  <w:sz w:val="20"/>
                  <w:u w:val="single"/>
                </w:rPr>
                <w:t>12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31">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31">
              <w:r>
                <w:rPr>
                  <w:rStyle w:val="InternetLink"/>
                  <w:rFonts w:ascii="Times New Roman;serif" w:hAnsi="Times New Roman;serif"/>
                  <w:b w:val="false"/>
                  <w:color w:val="0000FF"/>
                  <w:sz w:val="20"/>
                  <w:u w:val="single"/>
                </w:rPr>
                <w:t>19</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34">
              <w:r>
                <w:rPr>
                  <w:rStyle w:val="InternetLink"/>
                  <w:rFonts w:ascii="Times New Roman;serif" w:hAnsi="Times New Roman;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34">
              <w:r>
                <w:rPr>
                  <w:rStyle w:val="InternetLink"/>
                  <w:rFonts w:ascii="Times New Roman;serif" w:hAnsi="Times New Roman;serif"/>
                  <w:b w:val="false"/>
                  <w:color w:val="0000FF"/>
                  <w:sz w:val="20"/>
                  <w:u w:val="single"/>
                </w:rPr>
                <w:t>22</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37">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37">
              <w:r>
                <w:rPr>
                  <w:rStyle w:val="InternetLink"/>
                  <w:rFonts w:ascii="Times New Roman;serif" w:hAnsi="Times New Roman;serif"/>
                  <w:b w:val="false"/>
                  <w:color w:val="0000FF"/>
                  <w:sz w:val="20"/>
                  <w:u w:val="single"/>
                </w:rPr>
                <w:t>25</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40">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40">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43">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43">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46">
              <w:r>
                <w:rPr>
                  <w:rStyle w:val="InternetLink"/>
                  <w:rFonts w:ascii="Times New Roman;serif" w:hAnsi="Times New Roman;serif"/>
                  <w:b w:val="false"/>
                  <w:color w:val="0000FF"/>
                  <w:sz w:val="20"/>
                  <w:u w:val="singl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46">
              <w:r>
                <w:rPr>
                  <w:rStyle w:val="InternetLink"/>
                  <w:rFonts w:ascii="Times New Roman;serif" w:hAnsi="Times New Roman;serif"/>
                  <w:b w:val="false"/>
                  <w:color w:val="0000FF"/>
                  <w:sz w:val="20"/>
                  <w:u w:val="single"/>
                </w:rPr>
                <w:t>27</w:t>
              </w:r>
            </w:hyperlink>
          </w:p>
        </w:tc>
      </w:tr>
      <w:tr>
        <w:trPr/>
        <w:tc>
          <w:tcPr>
            <w:tcW w:w="58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49">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fd061d5efa4fedb74c028eba819da7_49">
              <w:r>
                <w:rPr>
                  <w:rStyle w:val="InternetLink"/>
                  <w:rFonts w:ascii="Times New Roman;serif" w:hAnsi="Times New Roman;serif"/>
                  <w:b w:val="false"/>
                  <w:color w:val="0000FF"/>
                  <w:sz w:val="20"/>
                  <w:u w:val="single"/>
                </w:rPr>
                <w:t>28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a part of a registration statement on Form S-3 that we filed with the U.S. Securities and Exchange Commission (SEC) utilizing a “shelf” registration process under the Securities Act of 1933, as amended (the Securities Act). Under this shelf registration process, we may offer and sell from time to time in one or more offerings the securities described in this prospectus up to a total dollar amount of $500,000,000.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we may offer. Each time we offer securities under this prospectus, we will provide a prospectus supplement that will contain specific information about the terms of these securities and offerings.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THIS PROSPECTUS MAY NOT BE USED TO CONSUMMATE A SALE OF SECURITIES UNLESS IT IS ACCOMPANIED BY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SUMMARY</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Unless the context requires otherwise, references in this prospectus to the “Company,” “Allogene,” “we,” “us” and “our” refer to Allogene Therapeutics, Inc.</w:t>
      </w:r>
    </w:p>
    <w:p>
      <w:pPr>
        <w:pStyle w:val="TextBody"/>
        <w:bidi w:val="0"/>
        <w:spacing w:lineRule="auto" w:line="288" w:before="0" w:after="180"/>
        <w:jc w:val="left"/>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Company Overview</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We are a clinical stage immuno-oncology company pioneering the development of genetically engineered allogeneic T cell product candidates for the treatment of cancer and autoimmune diseases. We are developing a pipeline of “off-the-shelf” T cell product candidates that are designed to target and kill cancer cells in patients or eliminate pathogenic autoreactive cells in patients with autoimmune disorders. Our engineered T cells are allogeneic, meaning they are derived from healthy donors for intended use in any patient, rather than from an individual patient for that patient’s use, as in the case of autologous T cells. We believe this key difference will enable us to deliver readily available treatments faster, more reliably, at greater scale, and to more patients.</w:t>
      </w:r>
    </w:p>
    <w:p>
      <w:pPr>
        <w:pStyle w:val="TextBody"/>
        <w:bidi w:val="0"/>
        <w:spacing w:lineRule="auto" w:line="288" w:before="0" w:after="180"/>
        <w:jc w:val="left"/>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Corporate Information</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We were incorporated in Delaware in November 2017. Our principal executive offices are located at 210 East Grand Avenue, South San Francisco, California 94080, and our telephone number is (650) 457-2700. Our corporate website address is www.allogene.com. Information contained on or accessible through our website is not a part of this prospectus, and the inclusion of our website address in this prospectus is an inactive textual reference only.</w:t>
      </w:r>
    </w:p>
    <w:p>
      <w:pPr>
        <w:pStyle w:val="TextBody"/>
        <w:bidi w:val="0"/>
        <w:spacing w:lineRule="auto" w:line="288" w:before="0" w:after="180"/>
        <w:jc w:val="left"/>
        <w:rPr>
          <w:bdr w:val="single" w:sz="4" w:space="36" w:color="000000"/>
        </w:rPr>
      </w:pPr>
      <w:r>
        <w:rPr>
          <w:rFonts w:ascii="Times New Roman;serif" w:hAnsi="Times New Roman;serif"/>
          <w:b w:val="false"/>
          <w:color w:val="000000"/>
          <w:sz w:val="20"/>
          <w:bdr w:val="single" w:sz="4" w:space="36" w:color="000000"/>
        </w:rPr>
        <w:t>This prospectus contains references to our trademarks and to trademarks belonging to other entities. Solely for convenience, trademarks and trade names referred to in this prospectus, including logos, artwork and other visual displays, may appear without the </w:t>
      </w:r>
      <w:r>
        <w:rPr>
          <w:rFonts w:ascii="Times New Roman;serif" w:hAnsi="Times New Roman;serif"/>
          <w:b w:val="false"/>
          <w:color w:val="000000"/>
          <w:sz w:val="13"/>
          <w:bdr w:val="single" w:sz="4" w:space="36" w:color="000000"/>
        </w:rPr>
        <w:t>®</w:t>
      </w:r>
      <w:r>
        <w:rPr>
          <w:color w:val="000000"/>
          <w:bdr w:val="single" w:sz="4" w:space="36" w:color="000000"/>
        </w:rPr>
        <w:t> </w:t>
      </w:r>
      <w:r>
        <w:rPr>
          <w:rFonts w:ascii="Times New Roman;serif" w:hAnsi="Times New Roman;serif"/>
          <w:b w:val="false"/>
          <w:color w:val="000000"/>
          <w:sz w:val="20"/>
          <w:bdr w:val="single" w:sz="4" w:space="36" w:color="000000"/>
        </w:rPr>
        <w:t>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lineRule="auto" w:line="288" w:before="0" w:after="180"/>
        <w:jc w:val="left"/>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The Securities We May Offer</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We may offer shares of our common stock, shares of our preferred stock, debt securities and warrants to purchase any of such securities, up to a total aggregate amount of $500,000,000,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designation or classification;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aggregate principal amount or aggregate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maturity,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original issue discount,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rates and times of payment of interest or dividends, if any;</w:t>
      </w:r>
    </w:p>
    <w:p>
      <w:pPr>
        <w:pStyle w:val="TextBody"/>
        <w:bidi w:val="0"/>
        <w:spacing w:before="180" w:after="18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redemption, conversion, exchange or sinking fund terms,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conversion or exchange prices or rates, if any, and, if applicable, any provisions for changes to or adjustments in the conversion or exchange prices or rates and in the securities or other property receivable upon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ranking,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restrictive covenants,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voting or other rights, if 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important U.S. federal income tax considerations.</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The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lineRule="auto" w:line="288" w:before="0" w:after="180"/>
        <w:jc w:val="left"/>
        <w:rPr>
          <w:rFonts w:ascii="Times New Roman;serif" w:hAnsi="Times New Roman;serif"/>
          <w:b/>
          <w:i/>
          <w:color w:val="000000"/>
          <w:sz w:val="20"/>
          <w:bdr w:val="single" w:sz="4" w:space="36" w:color="000000"/>
        </w:rPr>
      </w:pPr>
      <w:r>
        <w:rPr>
          <w:rFonts w:ascii="Times New Roman;serif" w:hAnsi="Times New Roman;serif"/>
          <w:b/>
          <w:i/>
          <w:color w:val="000000"/>
          <w:sz w:val="20"/>
          <w:bdr w:val="single" w:sz="4" w:space="36" w:color="000000"/>
        </w:rPr>
        <w:t>This prospectus may not be used to consummate a sale of securities unless it is accompanied by a prospectus supplement.</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We may sell the securities directly to investors or through underwriters, dealers or agents. We, and our underwriters or agents, reserve the right to accept or reject all or part of any proposed purchase of securities. If we do offer securities through underwriters or agents, we will include in the applicable prospectus supplement: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names of those underwriters or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applicable fees, discounts and commissions to be paid to them;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details regarding over-allotment options, if 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estimated net proceeds to us.</w:t>
      </w:r>
    </w:p>
    <w:p>
      <w:pPr>
        <w:pStyle w:val="TextBody"/>
        <w:bidi w:val="0"/>
        <w:spacing w:lineRule="auto" w:line="288" w:before="0" w:after="180"/>
        <w:jc w:val="left"/>
        <w:rPr>
          <w:bdr w:val="single" w:sz="4" w:space="36" w:color="000000"/>
        </w:rPr>
      </w:pPr>
      <w:r>
        <w:rPr>
          <w:rFonts w:ascii="Times New Roman;serif" w:hAnsi="Times New Roman;serif"/>
          <w:b/>
          <w:i/>
          <w:color w:val="000000"/>
          <w:sz w:val="20"/>
          <w:bdr w:val="single" w:sz="4" w:space="36" w:color="000000"/>
        </w:rPr>
        <w:t>Common Stock</w:t>
      </w:r>
      <w:r>
        <w:rPr>
          <w:rFonts w:ascii="Times New Roman;serif" w:hAnsi="Times New Roman;serif"/>
          <w:b w:val="false"/>
          <w:i/>
          <w:color w:val="000000"/>
          <w:sz w:val="20"/>
          <w:bdr w:val="single" w:sz="4" w:space="36" w:color="000000"/>
        </w:rPr>
        <w:t>.</w:t>
      </w:r>
      <w:r>
        <w:rPr>
          <w:color w:val="000000"/>
          <w:bdr w:val="single" w:sz="4" w:space="36" w:color="000000"/>
        </w:rPr>
        <w:t> </w:t>
      </w:r>
      <w:r>
        <w:rPr>
          <w:rFonts w:ascii="Times New Roman;serif" w:hAnsi="Times New Roman;serif"/>
          <w:b w:val="false"/>
          <w:color w:val="000000"/>
          <w:sz w:val="20"/>
          <w:bdr w:val="single" w:sz="4" w:space="36" w:color="000000"/>
        </w:rPr>
        <w:t>We may issue shares of our common stock from time to time. Holders of our common stock are entitled to one vote per share for the election of directors and on all other matters that require stockholder approval. Subject to any preferential rights of any then outstanding preferred stock, in the event of our liquidation, dissolution or winding up, holders of our common stock are entitled to share ratably in the assets remaining after payment of liabilities and the liquidation preferences of any then outstanding preferred stock. Our common stock does not carry any preemptive rights enabling a holder to subscribe for, or receive shares of, any class of our common stock or any other securities convertible into shares of any class of our common stock, or any redemption rights.</w:t>
      </w:r>
    </w:p>
    <w:p>
      <w:pPr>
        <w:pStyle w:val="TextBody"/>
        <w:bidi w:val="0"/>
        <w:spacing w:lineRule="auto" w:line="288" w:before="0" w:after="180"/>
        <w:jc w:val="left"/>
        <w:rPr>
          <w:bdr w:val="single" w:sz="4" w:space="36" w:color="000000"/>
        </w:rPr>
      </w:pPr>
      <w:r>
        <w:rPr>
          <w:rFonts w:ascii="Times New Roman;serif" w:hAnsi="Times New Roman;serif"/>
          <w:b/>
          <w:i/>
          <w:color w:val="000000"/>
          <w:sz w:val="20"/>
          <w:bdr w:val="single" w:sz="4" w:space="36" w:color="000000"/>
        </w:rPr>
        <w:t>Preferred Stock</w:t>
      </w:r>
      <w:r>
        <w:rPr>
          <w:rFonts w:ascii="Times New Roman;serif" w:hAnsi="Times New Roman;serif"/>
          <w:b w:val="false"/>
          <w:i/>
          <w:color w:val="000000"/>
          <w:sz w:val="20"/>
          <w:bdr w:val="single" w:sz="4" w:space="36" w:color="000000"/>
        </w:rPr>
        <w:t>. </w:t>
      </w:r>
      <w:r>
        <w:rPr>
          <w:rFonts w:ascii="Times New Roman;serif" w:hAnsi="Times New Roman;serif"/>
          <w:b w:val="false"/>
          <w:color w:val="000000"/>
          <w:sz w:val="20"/>
          <w:bdr w:val="single" w:sz="4" w:space="36" w:color="000000"/>
        </w:rPr>
        <w:t>We may issue shares of our preferred stock from time to time, in one or more series. Under our amended and restated certificate of incorporation, our board of directors has the authority, without further action by stockholders, to designate up to 10,000,000 shares of preferred stock in one or more series and to fix the rights, preferences, privileges, qualifications and restrictions granted to or imposed upon the preferred stock, including dividend rights, conversion rights, voting rights, rights and terms of redemption, liquidation preference and sinking fund terms, any or all of which may be greater than the rights of the common stock. To date, none of the 10,000,000 authorized shares of preferred stock have been designated by our board of directors. Convertible preferred stock will be convertible into our common stock or exchangeable for our other securities. Conversion may be mandatory or at the option of the holders of our preferred stock and would be at prescribed conversion rates.</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 xml:space="preserve">We will fix the rights, preferences, privileges, qualifications and restrictions of the preferred stock of each series that we sell under this prospectus and applicable prospectus supplements in the certificate of designation relating to that series. We will incorporate by reference into the registration statement of which this prospectus is a part the </w:t>
      </w:r>
    </w:p>
    <w:p>
      <w:pPr>
        <w:pStyle w:val="TextBody"/>
        <w:bidi w:val="0"/>
        <w:spacing w:before="180" w:after="18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form of any certificate of designation that describes the terms of the series of preferred stock we are offering before the issuance of the related series of preferred stock. We urge you, however, to read the applicable prospectus supplement (and any related free writing prospectus that we may authorize to be provided to you) related to the series of preferred stock being offered, as well as the complete certificate of designation that contains the terms of the applicable series of preferred stock.</w:t>
      </w:r>
    </w:p>
    <w:p>
      <w:pPr>
        <w:pStyle w:val="TextBody"/>
        <w:bidi w:val="0"/>
        <w:spacing w:lineRule="auto" w:line="288" w:before="0" w:after="180"/>
        <w:jc w:val="left"/>
        <w:rPr>
          <w:bdr w:val="single" w:sz="4" w:space="36" w:color="000000"/>
        </w:rPr>
      </w:pPr>
      <w:r>
        <w:rPr>
          <w:rFonts w:ascii="Times New Roman;serif" w:hAnsi="Times New Roman;serif"/>
          <w:b/>
          <w:i/>
          <w:color w:val="000000"/>
          <w:sz w:val="20"/>
          <w:bdr w:val="single" w:sz="4" w:space="36" w:color="000000"/>
        </w:rPr>
        <w:t>Debt Securities</w:t>
      </w:r>
      <w:r>
        <w:rPr>
          <w:rFonts w:ascii="Times New Roman;serif" w:hAnsi="Times New Roman;serif"/>
          <w:b w:val="false"/>
          <w:i/>
          <w:color w:val="000000"/>
          <w:sz w:val="20"/>
          <w:bdr w:val="single" w:sz="4" w:space="36" w:color="000000"/>
        </w:rPr>
        <w:t>. </w:t>
      </w:r>
      <w:r>
        <w:rPr>
          <w:rFonts w:ascii="Times New Roman;serif" w:hAnsi="Times New Roman;serif"/>
          <w:b w:val="false"/>
          <w:color w:val="000000"/>
          <w:sz w:val="20"/>
          <w:bdr w:val="single" w:sz="4" w:space="36" w:color="000000"/>
        </w:rPr>
        <w:t>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our common stock or preferred stock. Conversion may be mandatory or at the holder’s option and would be at prescribed conversion rates.</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The debt securities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jc w:val="left"/>
        <w:rPr>
          <w:bdr w:val="single" w:sz="4" w:space="36" w:color="000000"/>
        </w:rPr>
      </w:pPr>
      <w:r>
        <w:rPr>
          <w:rFonts w:ascii="Times New Roman;serif" w:hAnsi="Times New Roman;serif"/>
          <w:b/>
          <w:i/>
          <w:color w:val="000000"/>
          <w:sz w:val="20"/>
          <w:bdr w:val="single" w:sz="4" w:space="36" w:color="000000"/>
        </w:rPr>
        <w:t>Warrants</w:t>
      </w:r>
      <w:r>
        <w:rPr>
          <w:rFonts w:ascii="Times New Roman;serif" w:hAnsi="Times New Roman;serif"/>
          <w:b w:val="false"/>
          <w:i/>
          <w:color w:val="000000"/>
          <w:sz w:val="20"/>
          <w:bdr w:val="single" w:sz="4" w:space="36" w:color="000000"/>
        </w:rPr>
        <w:t>. </w:t>
      </w:r>
      <w:r>
        <w:rPr>
          <w:rFonts w:ascii="Times New Roman;serif" w:hAnsi="Times New Roman;serif"/>
          <w:b w:val="false"/>
          <w:color w:val="000000"/>
          <w:sz w:val="20"/>
          <w:bdr w:val="single" w:sz="4" w:space="36" w:color="000000"/>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as updated by our quarterly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9"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Statements contained in this prospectus, the applicable prospectus supplement and in the documents incorporated by reference herein and therein that are not strictly historical in nature are forward-looking statements within the meaning of Section 27A of the Securities Act, and within the meaning of Section 21E of the Securities Exchange Act of 1934, as amended (the Exchange Act). These forward-looking statements are subject to the “safe harbor” created by Section 27A of the Securities Act and Section 21E of the Exchange Act and may include, but are not limited to, statements about: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cost, timing and potential indications of our product development activities and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of the initiation, enrollment and completion of planned clinical trials in the United States and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and maintain regulatory approval of our product candidates in any of the indications for which we plan to develop them, and any related restrictions, limitations, and/or warnings in the label of an approved product candidate;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obtain funding for our operations, including funding necessary to complete the clinical trials of any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and plans to research, develop, manufacture and commercialize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collaborators with development, regulatory and commercialization expertise;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size of the markets, commercial opportunities and patient populations for our product candidates, and our ability to serve those markets and patients;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commercialize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and degree of market acceptance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maintain sales and marketing capabilities, whether alone or with potential future collaborators;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regulatory developments in the United States and foreign countries;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contract with and the performance of our and our collaborators’ third-party suppliers and manufacturers;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successfully operate our own manufacturing facility;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success of competing therapies that are or become available;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key scientific or management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accuracy of our estimates regarding expenses, future revenues, capital requirements and needs for additional financing;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use of cash and other resources, including our expected use of the proceeds from any offering under this prospectus;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ability to obtain and maintain intellectual property protection for our product candidates and our ability to operate our business without infringing on the intellectual property rights of others.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some cases, you can identify forward-looking statements by terms such as “anticipates,” “believes,” “could,” “estimates,” “expects,” “goal,” “intends,” “may,” “plans,” “potential,” “predicts,” “projects,” “should,” “will,” “would,” the negative of these words and words or similar expressions intended to identify forward-looking </w:t>
      </w:r>
    </w:p>
    <w:p>
      <w:pPr>
        <w:pStyle w:val="TextBody"/>
        <w:bidi w:val="0"/>
        <w:spacing w:before="180" w:after="18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statements. These statements reflect our views as of the date on which they were made with respect to future events and are based on assumptions and subject to risks and uncertainties. The underlying information and expectations are likely to change over time. In addition, statements that “we believe” and similar statements reflect our beliefs and opinions on the relevant subject. These statements are based upon information available to us as of the date the statement is made,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Given these uncertainties, you should not place undue reliance on these forward-looking statements as actual events or results may differ materially from those projected in the forward-looking statements due to various factors, including, but not limited to, those set forth under the heading “Risk Factors” in any applicable prospectus supplement, the documents incorporated by reference therein or any free writing prospectus that we authorized. These forward-looking statements represent our estimates and assumptions only as of the date of the document containing the applicable statement. Our actual future results may be materially different from what we expect. We qualify all of the forward-looking statements contained in this prospectus, in the documents incorporated by reference herein and in any prospectus supplement by these cautionary statements.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 Before deciding to purchase our securities, you should carefully consider the risk factors discussed herein or incorporated by reference, in addition to the other information set forth in this prospectus, any accompanying prospectus supplement or free writing prospectus and in the documents incorporated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described in any prospectus supplement or in any related free writing prospectus that we may authorize to be provided to you, we currently intend to use the net proceeds from the sale of securities under this prospectus for general corporate purposes, including clinical trial expenses, research and development expenses, general and administrative expenses, and capital expenditures. We may also use a portion of the net proceeds to in-license, invest in or acquire businesses, assets or technologies that we believe are complementary to our own, although we have no current plans, commitments or agreements with respect to any acquisitions. As of the date of this prospectus, we cannot specify with certainty all of the particular uses of the net proceeds from the sale of securities under this prospectus. Accordingly, we will retain broad discretion over the use of such proceeds. Pending the use of the net proceeds from the sale of securities under this prospectus as described above, we intend to invest the net proceeds in investment-grade, interest-bearing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authorized capital stock consists of 800,000,000 shares of common stock, $0.001 par value, and 10,000,000 shares of preferred stock, $0.001 par value. All of our authorized preferred stock is undesignated.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summary description of our capital stock is based on the provisions of our amended and restated certificate of incorporation, and amended and restated bylaws and the applicable provisions of the Delaware General Corporation Law (DGCL). This information is qualified entirely by reference to the applicable provisions of our amended and restated certificate of incorporation, amended and restated bylaws and the DGCL. For information on how to obtain copies of our amended and restated certificate of incorporation and amended and restated bylaws, which are exhibits to the registration statement of which this prospectus is a part, see “Where You Can Find More Information” and “Incorporation of Certain Information Reference.”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pPr>
      <w:r>
        <w:rPr>
          <w:rFonts w:ascii="Times New Roman;serif" w:hAnsi="Times New Roman;serif"/>
          <w:b w:val="false"/>
          <w:i/>
          <w:color w:val="000000"/>
          <w:sz w:val="20"/>
        </w:rPr>
        <w:t>Voting Rights</w:t>
      </w:r>
      <w:r>
        <w:rPr>
          <w:rFonts w:ascii="Times New Roman;serif" w:hAnsi="Times New Roman;serif"/>
          <w:b w:val="false"/>
          <w:color w:val="000000"/>
          <w:sz w:val="20"/>
        </w:rPr>
        <w:t>. Our common stock is entitled to one vote for each share held of record on all matters submitted to a vote of the stockholders, including the election of directors, and does not have cumulative voting rights. Accordingly, the holders of a majority of the shares of our common stock entitled to vote in any election of directors can elect all of the directors standing for election.</w:t>
      </w:r>
    </w:p>
    <w:p>
      <w:pPr>
        <w:pStyle w:val="TextBody"/>
        <w:bidi w:val="0"/>
        <w:spacing w:lineRule="auto" w:line="288" w:before="0" w:after="180"/>
        <w:jc w:val="left"/>
        <w:rPr/>
      </w:pPr>
      <w:r>
        <w:rPr>
          <w:rFonts w:ascii="Times New Roman;serif" w:hAnsi="Times New Roman;serif"/>
          <w:b w:val="false"/>
          <w:i/>
          <w:color w:val="000000"/>
          <w:sz w:val="20"/>
        </w:rPr>
        <w:t>Dividends</w:t>
      </w:r>
      <w:r>
        <w:rPr>
          <w:rFonts w:ascii="Times New Roman;serif" w:hAnsi="Times New Roman;serif"/>
          <w:b w:val="false"/>
          <w:color w:val="000000"/>
          <w:sz w:val="20"/>
        </w:rPr>
        <w:t>. Subject to preferences that may be applicable to any then-outstanding preferred stock, the holders of common stock are entitled to receive dividends, if any, as may be declared from time to time by our board of directors out of legally available funds.</w:t>
      </w:r>
    </w:p>
    <w:p>
      <w:pPr>
        <w:pStyle w:val="TextBody"/>
        <w:bidi w:val="0"/>
        <w:spacing w:lineRule="auto" w:line="288" w:before="0" w:after="180"/>
        <w:jc w:val="left"/>
        <w:rPr/>
      </w:pPr>
      <w:r>
        <w:rPr>
          <w:rFonts w:ascii="Times New Roman;serif" w:hAnsi="Times New Roman;serif"/>
          <w:b w:val="false"/>
          <w:i/>
          <w:color w:val="000000"/>
          <w:sz w:val="20"/>
        </w:rPr>
        <w:t>Liquidation, Dissolution or Winding Up</w:t>
      </w:r>
      <w:r>
        <w:rPr>
          <w:rFonts w:ascii="Times New Roman;serif" w:hAnsi="Times New Roman;serif"/>
          <w:b w:val="false"/>
          <w:color w:val="000000"/>
          <w:sz w:val="20"/>
        </w:rPr>
        <w:t>. 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lineRule="auto" w:line="288" w:before="0" w:after="180"/>
        <w:jc w:val="left"/>
        <w:rPr/>
      </w:pPr>
      <w:r>
        <w:rPr>
          <w:rFonts w:ascii="Times New Roman;serif" w:hAnsi="Times New Roman;serif"/>
          <w:b w:val="false"/>
          <w:i/>
          <w:color w:val="000000"/>
          <w:sz w:val="20"/>
        </w:rPr>
        <w:t>Rights and Preferences</w:t>
      </w:r>
      <w:r>
        <w:rPr>
          <w:rFonts w:ascii="Times New Roman;serif" w:hAnsi="Times New Roman;serif"/>
          <w:b w:val="false"/>
          <w:color w:val="000000"/>
          <w:sz w:val="20"/>
        </w:rPr>
        <w:t>. 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lineRule="auto" w:line="288" w:before="0" w:after="180"/>
        <w:jc w:val="left"/>
        <w:rPr/>
      </w:pPr>
      <w:r>
        <w:rPr>
          <w:rFonts w:ascii="Times New Roman;serif" w:hAnsi="Times New Roman;serif"/>
          <w:b w:val="false"/>
          <w:i/>
          <w:color w:val="000000"/>
          <w:sz w:val="20"/>
        </w:rPr>
        <w:t>Fully Paid and Nonassessable. </w:t>
      </w:r>
      <w:r>
        <w:rPr>
          <w:rFonts w:ascii="Times New Roman;serif" w:hAnsi="Times New Roman;serif"/>
          <w:b w:val="false"/>
          <w:color w:val="000000"/>
          <w:sz w:val="20"/>
        </w:rPr>
        <w:t>All of our outstanding shares of common stock are fully paid and nonassessable.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our amended and restated certificate of incorporation, our board of directors has the authority, without further action by the stockholders, to issue up to 10,000,000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that series of preferred stock. This description will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stated value;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we are offering;</w:t>
      </w:r>
    </w:p>
    <w:p>
      <w:pPr>
        <w:pStyle w:val="TextBody"/>
        <w:bidi w:val="0"/>
        <w:spacing w:before="180" w:after="18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liquidation preference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dividend rate per share, dividend period, payment date or dates and method of calculation for dividends;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dividends will be cumulative or non-cumulative and, if cumulative, the date from which dividends will accumulate;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right, if any, to defer payment of dividends and the maximum length of any such deferral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procedures for any auction and remarketing,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for a sinking fund,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for redemption or repurchase, if applicable, and any restrictions on our ability to exercise those redemption and repurchase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listing of the preferred stock on any securities exchange or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preferred stock will be convertible into our common stock or other securities of ours, including warrants, and, if applicable, the conversion price, or how it will be calculated, and under what circumstances and the mechanism by which it may be adjusted, and the conversion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preferred stock will be exchangeable into debt securities or other securities of ours, and, if applicable, the exchange price, or how it will be calculated, and under what circumstances it may be adjusted, and the exchange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voting rights,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preemptive rights,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restrictions on transfer, sale or other assignment,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interests in the preferred stock will be represented by depositary shares;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any material or special U.S. federal income tax considerations applicable to the preferred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relative ranking and preferences of the preferred stock as to dividend rights and rights if we liquidate, dissolve or wind up our affairs;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limitations on issuances of any class or series of preferred stock ranking senior to or on parity with the series of preferred stock being issued as to dividend rights and rights if we liquidate, dissolve or wind up our affairs;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rights, preferences, privileges, qualifications or limitations of, or restrictions on the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issue shares of preferred stock under this prospectus, the shares will be fully paid and non-assessable.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DGCL provides that the holders of preferred stock will have the right to vote separately as a class (or, in some cases, as a series) on an amendment to our certificate of incorporation if the amendment would change the par value or, unless our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pStyle w:val="TextBody"/>
        <w:bidi w:val="0"/>
        <w:spacing w:before="180" w:after="18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Anti-Takeover Effects of Provisions of Our Amended and Restated Certificate of Incorporation, Our Amended and Restated Bylaws and Delaware Law</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Anti-Takeover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Section 203 of the DGCL, which generally prohibits a public Delaware corporation from engaging in a “business combination” with an “interested stockholder” for a period of three years after the date of the transaction in which the person became an interested stockholder,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prior to the date of the transaction, the board of directors of the corporation approved either the business combination or the transaction which resulted in the stockholder becoming an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interested stockholder owned at least 85% of the voting stock of the corporation outstanding upon consummation of the transaction,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Section 203 of the DGCL defines a business combination to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merger or consolidation involving the corporation and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sale, transfer, pledge or other disposition involving the interested stockholder of 10% or more of the assets of the corporation;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exceptions, any transaction involving the corporation that has the effect of increasing the proportionate share of the stock of any class or series of the corporation beneficially owned by the interested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exceptions, any transaction that results in the issuance or transfer by the corporation of any stock of the corporation to the interested stockholder;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receipt by the interested stockholder of the benefit of any loans, advances, guarantees, pledges or other financial benefits provided by or through the corporation.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Amended and Restated Certificate of Incorporation and Amended and Restated Bylaws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of our amended and restated certificate of incorporation and amended and restated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w:t>
      </w:r>
    </w:p>
    <w:p>
      <w:pPr>
        <w:pStyle w:val="TextBody"/>
        <w:bidi w:val="0"/>
        <w:spacing w:before="180" w:after="18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affect the price of our common stock. Among other things, our amended and restated certificate of incorporation and amended and restated bylaws: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permit our board of directors to issue up to 10,000,000 shares of preferred stock, with any rights, preferences and privileges as they may designate (including the right to approve an acquisition or other change in our control);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the authorized number of directors may be changed only by resolution of the board of directors;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the board of directors or any individual director may only be removed with cause and the affirmative vote of the holders of at least 66-2/3% of the voting power of all of our then outstanding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divide our board of directors into three classes;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require that any action to be taken by our stockholders must be effected at a duly called annual or special meeting of stockholders and not be taken by written consent;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do not provide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special meetings of our stockholders may be called only by the chairman of the board, our Chief Executive Officer or by the board of directors pursuant to a resolution adopted by a majority of the total number of authorized directors;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that to the fullest extent permitted by law the Court of Chancery of the State of Delaware will be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Delaware General Corporation Law or our certificate of incorporation or bylaws, and (iv) any action asserting a claim against us governed by the internal affairs doctrine. The provision would not apply to suits brought to enforce a duty or liability created by the Securities Act or the Exchange Act.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Equiniti Trust Company, LLC. The transfer agent and registrar’s address is 6201 15th Avenue, Brooklyn, NY 11219. The transfer agent for any series of preferred stock that we may offer under this prospectus will be named and described in the prospectus supplement for that series.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Listing on the Nasdaq Global Select Market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“ALLO.”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issue the debt securities under the indenture that we will enter into with the trustee named in the indenture. The indenture will be qualified under the Trust Indenture Act of 1939, as amended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of the series of debt securities being offered,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the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 upon the aggregate principal amount that may be issued;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maturity date or 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form of the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applicability of any guarantees;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or not the debt securities will be secured or unsecured, and the terms of any secured debt;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rank as senior debt, senior subordinated debt, subordinated debt or any combination thereof, and the terms of any subordination;</w:t>
      </w:r>
    </w:p>
    <w:p>
      <w:pPr>
        <w:pStyle w:val="TextBody"/>
        <w:bidi w:val="0"/>
        <w:spacing w:before="180" w:after="180"/>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right, if any, to defer payment of interest and the maximum length of any such deferral period;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or dates after which, or the period or periods during which, and the price or prices at which, we may, at our option, redeem the series of debt securities pursuant to any optional or provisional redemption provisions and the terms of those redemption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denominations in which we will issue the series of debt securities,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other than the full principal amount thereof, the portion of the principal amount of debt securities of the series which shall be payable upon declaration of acceleration of the maturity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covenants applicable to the particular debt securities being issued, including, among others, the consolidation, merger or sale covenant;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events of default with respect to the securities and any change in the right of the trustee or the holders to declare the principal, premium, if any, and interest, if any, with respect to such securities to be due and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or deletions of the provisions relating to covenant defeasance and legal defeasance;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provisions relating to satisfaction and discharge of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additions to or changes in the provisions relating to the modification of the indenture both with and without the consent of holders of debt securities issued under the indenture;</w:t>
      </w:r>
    </w:p>
    <w:p>
      <w:pPr>
        <w:pStyle w:val="TextBody"/>
        <w:bidi w:val="0"/>
        <w:spacing w:before="180" w:after="180"/>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of payment of debt securities if other than U.S. dollars and the manner of determining the equivalent amount in U.S. dollars;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interest will be payable in cash or additional debt securities at our or the holders’ option and the terms and conditions upon which the election may be made;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and conditions, if any, upon which we will pay amounts in addition to the stated interest, premium, if any, and principal amounts of the debt securities of the series to any holder that is not a “United States person” for federal tax purposes;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restrictions on transfer, sale or assignment of the debt securities of the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debt securities, any other additions or changes in the provisions of the indenture, and any terms that may be required by us or advisable under applicable laws or regulations.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Conversion or Exchange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the terms on which a series of debt securities may be convertible into or exchangeable for our common stock or our other securities. We will include provisions as to settlement upon conversion or exchange and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or 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 under the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prospectus supplement applicable to a particular series of debt securities, the following are events of default under the indenture with respect to any series of debt securities that we may issue: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specified events of bankruptcy, insolvency or reorganization occur.</w:t>
      </w:r>
    </w:p>
    <w:p>
      <w:pPr>
        <w:pStyle w:val="TextBody"/>
        <w:bidi w:val="0"/>
        <w:spacing w:before="180" w:after="180"/>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direction so given by the holder is not in conflict with any law or the applicable indenture;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holder of the debt securities of any series will have the right to institute a proceeding under the indenture or to appoint a receiver or trustee, or to seek other remedies only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holder has given written notice to the trustee of a continuing event of default with respect to that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holders of at least 25% in aggregate principal amount of the outstanding debt securities of that series have made written request;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such holders have offered to the trustee indemnity satisfactory to it against the costs, expenses and liabilities to be incurred by the trustee in compliance with the request;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limitations do not apply to a suit instituted by a holder of debt securities if we default in the payment of the principal, premium, if any, or interest on, the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periodically file statements with the trustee regarding our compliance with specified covenants in the indenture.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of Indenture; Waiver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and the trustee may change an indenture without the consent of any holders with respect to specific matters: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defect or inconsistency in the indenture or in the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provisions described above under “Description of Debt Securities-Consolidation, Merger or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debt securities in addition to or in place of certificated debt securities;</w:t>
      </w:r>
    </w:p>
    <w:p>
      <w:pPr>
        <w:pStyle w:val="TextBody"/>
        <w:bidi w:val="0"/>
        <w:spacing w:before="180" w:after="180"/>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to, delete from or revise the conditions, limitations, and restrictions on the authorized amount, terms, or purposes of issue, authentication and delivery of debt securities, as set forth in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interests of any holder of debt securities of any series in any material respect;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evidence and provide for the acceptance of appointment under any indenture by a successor trustee;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any requirements of the SEC in connection with the qualification of any indenture under the Trust Indenture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extending the fixed maturity of any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reducing the principal amount, reducing the rate of or extending the time of payment of interest, or reducing any premium payable upon the redemption of any series of any debt securities;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reducing the percentage of debt securities, the holders of which are required to consent to any amendment, supplement, modification or waiver.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Discharge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provides that we can elect to be discharged from our obligations with respect to one or more series of debt securities, except for specified obligations, including obligations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provide for payment;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register the transfer or exchange of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replace stolen, lost or mutilated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pay principal of and premium and interest on any debt securities of the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 paying agencies;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hold monies for payment in trust;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recover excess money held by the trustee;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compensate and indemnify the trustee;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appoint any successor trustee.</w:t>
      </w:r>
    </w:p>
    <w:p>
      <w:pPr>
        <w:pStyle w:val="TextBody"/>
        <w:bidi w:val="0"/>
        <w:spacing w:before="180" w:after="180"/>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Form, Exchange and Transfer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elect to redeem the debt securities of any series, we will not be required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register the transfer of or exchange of any debt securities so selected for redemption, in whole or in part, except the unredeemed portion of any debt securities we are redeeming in part.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Concerning the Trustee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Payment and Paying Agents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180" w:after="180"/>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will be governed by and construed in accordance with the internal laws of the State of New York, except to the extent that the Trust Indenture Act of 1939 is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may include in any applicable prospectus supplements and free writing prospectuses, summarizes the material terms and provisions of the warrants that we may offer under this prospectus, which may consist of warrants to purchase common stock, preferred stock or debt securities and may be issued in one or more series. Warrants may be issued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filed forms of the warrant agreements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relating to a series of warrants being offered,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of such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offering price or prices and aggregate number of warrants offered;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currencies for which the warrants may be purchased;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on and after which the warrants and the related securities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minimum or maximum amount of such warrants which may be exercised at any one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debt securities, the principal amount of debt securities purchasable upon exercise of one warrant and the price at which, and currency in which, this principal amount of debt securities may be purchased upon such exercise;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common stock or preferred stock, the number of shares of common stock or preferred stock, as the case may be, purchasable upon the exercise of one warrant and the price at which, and the currency in which, these shares may be purchased upon such exercise;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effect of any merger, consolidation, sale or other disposition of our business on the warrant agreements and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before="180" w:after="180"/>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any rights to force the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for changes to or adjustments in the exercise price or number of securities issuable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dates on which the right to exercise the warrants will commence and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manner in which the warrant agreements and warrants may be modified;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any material or special U.S. federal income tax consequences of holding or exercising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terms of the securities issuable upon exercise of the warrants;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exercising their warrants, holders of warrants will not have any of the rights of holders of the securities purchasable upon such exercise,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Enforceability of Rights by Holders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warrant agent will act solely as our agent under the applicable warrant agreement and will not assume any obligation or relationship of agency or trust with any holder of any warrant. A single bank or trust company may act </w:t>
      </w:r>
    </w:p>
    <w:p>
      <w:pPr>
        <w:pStyle w:val="TextBody"/>
        <w:bidi w:val="0"/>
        <w:spacing w:before="180" w:after="180"/>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OWNERSHIP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or depositary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Book-Entry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Street Name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global security may be terminated in certain situations as described under “-Special Situations When a Global Security Will Be Terminated,”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legal holder, we have no further responsibility for the payment or notice even if that legal holder is required, under agreements with its participants or customers or by </w:t>
      </w:r>
    </w:p>
    <w:p>
      <w:pPr>
        <w:pStyle w:val="TextBody"/>
        <w:bidi w:val="0"/>
        <w:spacing w:before="180" w:after="180"/>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law, to 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Considerations for Indirect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how it handles securities payments and notices;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it imposes fees or charges;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how it would handle a request for the holders’ consent, if ever required;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and how you can instruct it to send you securities registered in your own name so you can be a holder, if that is permitted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how it would exercise rights under the securities if there were a default or other event triggering the need for holders to act to protect their interests;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in book-entry form, how the depositary’s rules and procedures will affect these matters.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global security is a security that represents one or any other number of individual securities held by a depositary. Generally, all securities represented by the same global securities will have the same terms.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DTC will be the depositary for all securities issued in book-entry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Considerations for Global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180" w:after="180"/>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securities are issued only as global securities, an investor should be aware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depositary’s policies, which may change from time to time, will govern payments, transfers, exchanges and other matters relating to an investor’s interest in the global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and any applicable trustee have no responsibility for any aspect of the depositary’s actions or for its records of ownership interests in the global security, nor will we or any applicable trustee supervise the depositary in any way;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depositary may, and we understand that DTC will, require that those who purchase and sell interests in the global security within its book-entry system use immediately available funds, and your broker or bank may require you to do so as well;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financial institutions that participate in the depositary’s book-entry system, and through which an investor holds its interest in the global security, may also have their own policies affecting payments, notices and other matters relating to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There may be more than one financial intermediary in the chain of ownership for an investor. We do not monitor and are not responsible for the actions of any of those intermediaries.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Situations When a Global Security Will Be Terminated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applicable prospectus supplement, the global security will terminate when the following special situations occur: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we notify any applicable trustee that we wish to terminate that global security;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 event of default has occurred with regard to securities represented by that global security and has not been cured or waived.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or through the facilities of the Nasdaq Global Select Market or any other securities exchange or quotation or trading service on which such securities may be listed, quoted or traded at the time of sale; and/or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or through a market maker other than on the Nasdaq Global Select Market or such other securities exchanges or quotation or trading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“at the market offerings”, if any, may be conducted by underwriters acting as principal or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or names of any underwriters, dealers or agents,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purchase price of the securities and the proceeds we will receive from the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over-allotment options under which underwriters may purchase additional securities from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public offering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 or market on which the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underwriters named in the prospectus supplement are underwriters of the securities offered by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pStyle w:val="TextBody"/>
        <w:bidi w:val="0"/>
        <w:spacing w:before="180" w:after="180"/>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sell securities directly or through agents we designate from time to time. We will name any agent involved in the offering and sale of securities, and we will describe any commissions and other compensation we will pay the agent in the prospectus supplement. Unless the prospectus supplement states otherwise, our agent will act on a best-efforts basis for the period of its appointment.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than common stock, all securities we offer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agents and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compliance with guidelines of the Financial Industry Regulatory Authority (FINRA), the maximum consideration or discount to be received by any FINRA member or independent broker dealer may not exceed 8% of the aggregate amount of the securities offered pursuant to this prospectus and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specific terms of any lock-up provisions with respect to any given offering will be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the applicable prospectus supplement, Cooley LLP will pass upon certain legal matters in connection with the offering and the validity of the securities offered by this prospectus, and any supplement thereto. Additional legal matters may be passed upon for us or any underwriters, dealers or agents, by counsel that we will name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Ernst &amp; Young LLP, independent registered public accounting firm, has audited our consolidated financial statements included in our Annual Report on Form 10-K for the year ended December 31, 2025,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The SEC maintains a website that contains reports, proxy statements and other information regarding issuers that file electronically with the SEC, including Allogene. The address of the SEC website is www.sec.gov.</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maintain a website at www.allogene.com. Information contained in or accessible through our website does not constitute a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the effectiveness of the registration statement, and (ii) after the effectiveness of the registration statement but prior to the termination of all offerings of securities covered by this prospectus: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our Annual Report on Form 10-K for the year ended December 31, 2025, filed with the SEC on </w:t>
      </w:r>
      <w:hyperlink r:id="rId3">
        <w:r>
          <w:rPr>
            <w:rStyle w:val="InternetLink"/>
            <w:rFonts w:ascii="Times New Roman;serif" w:hAnsi="Times New Roman;serif"/>
            <w:b w:val="false"/>
            <w:color w:val="0000FF"/>
            <w:sz w:val="20"/>
            <w:u w:val="single"/>
            <w:shd w:fill="FFFFFF" w:val="clear"/>
          </w:rPr>
          <w:t>March 12, 2026</w:t>
        </w:r>
      </w:hyperlink>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information specifically incorporated by reference into our Annual Report on Form 10-K for the year ended December 31, 2025 from our definitive proxy statement on Schedule 14A, filed with the SEC on </w:t>
      </w:r>
      <w:hyperlink r:id="rId4">
        <w:r>
          <w:rPr>
            <w:rStyle w:val="InternetLink"/>
            <w:rFonts w:ascii="Times New Roman;serif" w:hAnsi="Times New Roman;serif"/>
            <w:b w:val="false"/>
            <w:color w:val="0000FF"/>
            <w:sz w:val="20"/>
            <w:u w:val="single"/>
            <w:shd w:fill="FFFFFF" w:val="clear"/>
          </w:rPr>
          <w:t>April 30, 2026</w:t>
        </w:r>
      </w:hyperlink>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our Quarterly Reports on Form 10-Q, filed with the SEC on </w:t>
      </w:r>
      <w:hyperlink r:id="rId5">
        <w:r>
          <w:rPr>
            <w:rStyle w:val="InternetLink"/>
            <w:rFonts w:ascii="Times New Roman;serif" w:hAnsi="Times New Roman;serif"/>
            <w:b w:val="false"/>
            <w:color w:val="0000FF"/>
            <w:sz w:val="20"/>
            <w:u w:val="single"/>
            <w:shd w:fill="FFFFFF" w:val="clear"/>
          </w:rPr>
          <w:t>May 13, 2026</w:t>
        </w:r>
      </w:hyperlink>
      <w:r>
        <w:rPr>
          <w:color w:val="000000"/>
        </w:rPr>
        <w:t xml:space="preserve"> </w:t>
      </w:r>
      <w:r>
        <w:rPr>
          <w:rFonts w:ascii="Times New Roman;serif" w:hAnsi="Times New Roman;serif"/>
          <w:b w:val="false"/>
          <w:color w:val="000000"/>
          <w:sz w:val="20"/>
          <w:shd w:fill="FFFFFF" w:val="clear"/>
        </w:rPr>
        <w:t xml:space="preserve">and </w:t>
      </w:r>
      <w:hyperlink r:id="rId6">
        <w:r>
          <w:rPr>
            <w:rStyle w:val="InternetLink"/>
            <w:rFonts w:ascii="Times New Roman;serif" w:hAnsi="Times New Roman;serif"/>
            <w:b w:val="false"/>
            <w:color w:val="0000FF"/>
            <w:sz w:val="20"/>
            <w:u w:val="single"/>
            <w:shd w:fill="FFFFFF" w:val="clear"/>
          </w:rPr>
          <w:t>August 12, 2026</w:t>
        </w:r>
      </w:hyperlink>
      <w:r>
        <w:rPr>
          <w:rFonts w:ascii="Times New Roman;serif" w:hAnsi="Times New Roman;serif"/>
          <w:b w:val="false"/>
          <w:color w:val="000000"/>
          <w:sz w:val="20"/>
          <w:shd w:fill="FFFFFF" w:val="clear"/>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our Current Reports on Form 8-K, filed with the SEC on </w:t>
      </w:r>
      <w:hyperlink r:id="rId7">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w:t>
      </w:r>
      <w:hyperlink r:id="rId8">
        <w:r>
          <w:rPr>
            <w:rStyle w:val="InternetLink"/>
            <w:rFonts w:ascii="Times New Roman;serif" w:hAnsi="Times New Roman;serif"/>
            <w:b w:val="false"/>
            <w:color w:val="0000FF"/>
            <w:sz w:val="20"/>
            <w:u w:val="single"/>
            <w:shd w:fill="FFFFFF" w:val="clear"/>
          </w:rPr>
          <w:t>April 13, 2026</w:t>
        </w:r>
      </w:hyperlink>
      <w:r>
        <w:rPr>
          <w:rFonts w:ascii="Times New Roman;serif" w:hAnsi="Times New Roman;serif"/>
          <w:b w:val="false"/>
          <w:color w:val="000000"/>
          <w:sz w:val="20"/>
          <w:shd w:fill="FFFFFF" w:val="clear"/>
        </w:rPr>
        <w:t>, </w:t>
      </w:r>
      <w:hyperlink r:id="rId9">
        <w:r>
          <w:rPr>
            <w:rStyle w:val="InternetLink"/>
            <w:rFonts w:ascii="Times New Roman;serif" w:hAnsi="Times New Roman;serif"/>
            <w:b w:val="false"/>
            <w:color w:val="0000FF"/>
            <w:sz w:val="20"/>
            <w:u w:val="single"/>
            <w:shd w:fill="FFFFFF" w:val="clear"/>
          </w:rPr>
          <w:t>April 15, 2026</w:t>
        </w:r>
      </w:hyperlink>
      <w:r>
        <w:rPr>
          <w:rFonts w:ascii="Times New Roman;serif" w:hAnsi="Times New Roman;serif"/>
          <w:b w:val="false"/>
          <w:color w:val="000000"/>
          <w:sz w:val="20"/>
          <w:shd w:fill="FFFFFF" w:val="clear"/>
        </w:rPr>
        <w:t>, </w:t>
      </w:r>
      <w:hyperlink r:id="rId10">
        <w:r>
          <w:rPr>
            <w:rStyle w:val="InternetLink"/>
            <w:rFonts w:ascii="Times New Roman;serif" w:hAnsi="Times New Roman;serif"/>
            <w:b w:val="false"/>
            <w:color w:val="0000FF"/>
            <w:sz w:val="20"/>
            <w:u w:val="single"/>
            <w:shd w:fill="FFFFFF" w:val="clear"/>
          </w:rPr>
          <w:t>May 13, 2026</w:t>
        </w:r>
      </w:hyperlink>
      <w:r>
        <w:rPr>
          <w:rFonts w:ascii="Times New Roman;serif" w:hAnsi="Times New Roman;serif"/>
          <w:b w:val="false"/>
          <w:color w:val="000000"/>
          <w:sz w:val="20"/>
          <w:shd w:fill="FFFFFF" w:val="clear"/>
        </w:rPr>
        <w:t>, </w:t>
      </w:r>
      <w:hyperlink r:id="rId11">
        <w:r>
          <w:rPr>
            <w:rStyle w:val="InternetLink"/>
            <w:rFonts w:ascii="Times New Roman;serif" w:hAnsi="Times New Roman;serif"/>
            <w:b w:val="false"/>
            <w:color w:val="0000FF"/>
            <w:sz w:val="20"/>
            <w:u w:val="single"/>
            <w:shd w:fill="FFFFFF" w:val="clear"/>
          </w:rPr>
          <w:t>May 28, 2026</w:t>
        </w:r>
      </w:hyperlink>
      <w:r>
        <w:rPr>
          <w:color w:val="000000"/>
          <w:shd w:fill="FFFFFF" w:val="clear"/>
        </w:rPr>
        <w:t xml:space="preserve"> </w:t>
      </w:r>
      <w:r>
        <w:rPr>
          <w:rFonts w:ascii="Times New Roman;serif" w:hAnsi="Times New Roman;serif"/>
          <w:b w:val="false"/>
          <w:color w:val="000000"/>
          <w:sz w:val="20"/>
          <w:shd w:fill="FFFFFF" w:val="clear"/>
        </w:rPr>
        <w:t xml:space="preserve">and </w:t>
      </w:r>
      <w:hyperlink r:id="rId12">
        <w:r>
          <w:rPr>
            <w:rStyle w:val="InternetLink"/>
            <w:rFonts w:ascii="Times New Roman;serif" w:hAnsi="Times New Roman;serif"/>
            <w:b w:val="false"/>
            <w:color w:val="0000FF"/>
            <w:sz w:val="20"/>
            <w:u w:val="single"/>
            <w:shd w:fill="FFFFFF" w:val="clear"/>
          </w:rPr>
          <w:t>June 22, 2026</w:t>
        </w:r>
      </w:hyperlink>
      <w:r>
        <w:rPr>
          <w:rFonts w:ascii="Times New Roman;serif" w:hAnsi="Times New Roman;serif"/>
          <w:b w:val="false"/>
          <w:color w:val="000000"/>
          <w:sz w:val="20"/>
          <w:shd w:fill="FFFFFF" w:val="clear"/>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shd w:fill="FFFFFF" w:val="clear"/>
        </w:rPr>
        <w:t>the description of our common stock, which is registered under Section 12 of the Exchange Act, described in </w:t>
      </w:r>
      <w:hyperlink r:id="rId13">
        <w:r>
          <w:rPr>
            <w:rStyle w:val="InternetLink"/>
            <w:rFonts w:ascii="Times New Roman;serif" w:hAnsi="Times New Roman;serif"/>
            <w:b w:val="false"/>
            <w:color w:val="0000FF"/>
            <w:sz w:val="20"/>
            <w:u w:val="single"/>
            <w:shd w:fill="FFFFFF" w:val="clear"/>
          </w:rPr>
          <w:t>Exhibit 4.3</w:t>
        </w:r>
      </w:hyperlink>
      <w:r>
        <w:rPr>
          <w:color w:val="000000"/>
          <w:shd w:fill="FFFFFF" w:val="clear"/>
        </w:rPr>
        <w:t> </w:t>
      </w:r>
      <w:r>
        <w:rPr>
          <w:rFonts w:ascii="Times New Roman;serif" w:hAnsi="Times New Roman;serif"/>
          <w:b w:val="false"/>
          <w:color w:val="000000"/>
          <w:sz w:val="20"/>
          <w:shd w:fill="FFFFFF" w:val="clear"/>
        </w:rPr>
        <w:t>to our Annual Report on Form 10-K for the year ended December 31, 2022, filed with the SEC on February 28, 2023, including all amendments or reports filed for the purpose of updating such description.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210 East Grand Avenue, South San Francisco, California 94080, or by telephoning us at (650) 457-2700.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INFORMATION NOT REQUIRED IN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Other Expenses of Issuance and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estimated costs and expenses, other than underwriting discounts and commissions, payable by us in connection with the offering of the securities being registered. All the amounts shown below are estimates.</w:t>
      </w:r>
    </w:p>
    <w:tbl>
      <w:tblPr>
        <w:tblW w:w="4292" w:type="dxa"/>
        <w:jc w:val="left"/>
        <w:tblInd w:w="0" w:type="dxa"/>
        <w:tblLayout w:type="fixed"/>
        <w:tblCellMar>
          <w:top w:w="28" w:type="dxa"/>
          <w:left w:w="28" w:type="dxa"/>
          <w:bottom w:w="28" w:type="dxa"/>
          <w:right w:w="28" w:type="dxa"/>
        </w:tblCellMar>
      </w:tblPr>
      <w:tblGrid>
        <w:gridCol w:w="1126"/>
        <w:gridCol w:w="987"/>
        <w:gridCol w:w="991"/>
        <w:gridCol w:w="211"/>
        <w:gridCol w:w="721"/>
        <w:gridCol w:w="256"/>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 registration fee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Accounting fees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fees and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Transfer agent fees and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Trustee fees and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Printing and miscellaneous expenses</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These fees are calculated based on the securities offered and the number of issuances and accordingly cannot be estimated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15. Indemnification of Officers and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Section 145 of the Delaware General Corporation Law (DGCL), we have broad powers to indemnify our directors and officers against liabilities they may incur in such capacities, including liabilities under the Securities Act of 1933, as amended (the Securities Act). Section 145 of the DGCL generally provides that a Delaware corporation has the power to indemnify its present and former directors, officers, employees and agents against expenses incurred by them in connection with any suit to which they are or are threatened to be made, a party by reason of their serving in such positions so long as they acted in good faith and in a manner they reasonably believed to be in or not opposed to, the best interests of the corporation and, with respect to any criminal action, they had no reasonable cause to believe their conduct was unlawful.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as amended (our amended and restated certificate) and amended and restated bylaws include provisions that (i) eliminate the personal liability of our directors for monetary damages resulting from breaches of their fiduciary duty to the fullest extent permitted under applicable law, (ii) require us to indemnify our directors and executive officers to the fullest extent permitted by the DGCL or other applicable law and (iii) provide us with the power, in our discretion, to indemnify our other officers, employees and other agents as set forth in the DGCL or other applicable law. We believe that these provisions of our amended and restated certificate of incorporation and amended and restated bylaws are necessary to attract and retain qualified persons as directors and officers. These provisions do not eliminate our directors’ or officers’ duty of care, and, in appropriate circumstances, equitable remedies such as injunctive or other forms of non-monetary relief will remain available under the DGCL. In addition, each director will continue to be subject to liability pursuant to Section 174 of the DGCL, for breach of such director’s duty of loyalty to us, for acts or omissions not in good faith or involving intentional misconduct, for knowing violations of law, for acts or omissions that such director believes to be contrary to our best interests or the best interests of our stockholders, for any transaction from which such director derived an improper personal benefit, for acts or omissions involving a reckless disregard for such director’s duty to us or to our stockholders when such director was aware or should have been aware of a risk of serious injury to us or to our stockholders, for acts or omission that constitute an unexcused pattern of inattention that amounts to an abdication of such director’s duty to us or to our stockholders, for improper transactions between such director and us and for improper loans to directors and officers. These provisions also do not affect a director’s responsibilities under any other law, such as the federal securities law or state or federal environmental laws.</w:t>
      </w:r>
    </w:p>
    <w:p>
      <w:pPr>
        <w:pStyle w:val="TextBody"/>
        <w:bidi w:val="0"/>
        <w:spacing w:before="180" w:after="18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permitted by Delaware law, we have entered into indemnification agreements with each of our current directors and officers pursuant to the foregoing provisions. We have an insurance policy covering our officers and directors with respect to certain liabilities, including liabilities arising under the Securities Act or otherwise.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underwriting agreement that we may enter into, filed as Exhibit 1.1 to this Registration Statement, will provide for indemnification by any underwriters of the company, our directors, our officers who sign the registration statement and our controlling persons, if any, for some liabilities, including liabilities arising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16. Exhibits and Financial Statement Schedules </w:t>
      </w:r>
    </w:p>
    <w:tbl>
      <w:tblPr>
        <w:tblW w:w="10205" w:type="dxa"/>
        <w:jc w:val="left"/>
        <w:tblInd w:w="0" w:type="dxa"/>
        <w:tblLayout w:type="fixed"/>
        <w:tblCellMar>
          <w:top w:w="28" w:type="dxa"/>
          <w:left w:w="28" w:type="dxa"/>
          <w:bottom w:w="28" w:type="dxa"/>
          <w:right w:w="28" w:type="dxa"/>
        </w:tblCellMar>
      </w:tblPr>
      <w:tblGrid>
        <w:gridCol w:w="257"/>
        <w:gridCol w:w="226"/>
        <w:gridCol w:w="227"/>
        <w:gridCol w:w="109"/>
        <w:gridCol w:w="109"/>
        <w:gridCol w:w="109"/>
        <w:gridCol w:w="2792"/>
        <w:gridCol w:w="2628"/>
        <w:gridCol w:w="3748"/>
      </w:tblGrid>
      <w:tr>
        <w:trPr/>
        <w:tc>
          <w:tcPr>
            <w:tcW w:w="2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48" w:type="dxa"/>
            <w:tcBorders/>
            <w:vAlign w:val="center"/>
          </w:tcPr>
          <w:p>
            <w:pPr>
              <w:pStyle w:val="TableContents"/>
              <w:bidi w:val="0"/>
              <w:spacing w:before="0" w:after="283"/>
              <w:jc w:val="left"/>
              <w:rPr>
                <w:sz w:val="4"/>
                <w:szCs w:val="4"/>
              </w:rPr>
            </w:pPr>
            <w:r>
              <w:rPr>
                <w:sz w:val="4"/>
                <w:szCs w:val="4"/>
              </w:rPr>
            </w:r>
          </w:p>
        </w:tc>
      </w:tr>
      <w:tr>
        <w:trPr/>
        <w:tc>
          <w:tcPr>
            <w:tcW w:w="7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r>
      <w:tr>
        <w:trPr/>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Underwriting Agreement.</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Amended and Restated Certificate of Incorporation of the registrant (incorporated by reference to Exhibit 3.1 to the registrant’s Current Report on Form 8-K, filed with the SEC on October 15, 2018).</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filed with the SEC on June 17, 2022).</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Certificate of Amendment of Amended and Restated Certificate of Incorporation of the registrant (incorporated by reference to Exhibit 3.1 to the registrant’s Current Report on Form 8-K, filed with the SEC on June 22, 2026).</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Amended and Restated Bylaws of the registrant (incorporated by reference to Exhibit 3.2 to the registrant’s Current Report on Form 8-K, filed with the SEC on October 15, 2018).</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Common Stock Certificate of the registrant (incorporated by reference to Exhibit 4.1 to the registrant’s Registration Statement on Form S-1, as amended (File No. 333-227333), filed with the SEC on October 2, 2018).</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Specimen Preferred Stock Certificate and Certificate of Designation of Preferred Stock.</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Form of Indenture (incorporated by reference to Exhibit 4.6 to the registrant’s Registration Statement on Form S-3 (File No. 333-277951), filed with the SEC on March 14, 2024).</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Senior Note.</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Subordinated Note.</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Form of Common Stock Warrant Agreement and Warrant Certificate (incorporated by reference to Exhibit 4.9 to the registrant’s Registration Statement on Form S-3 (File No. 333-277951), filed with the SEC on March 14, 2024).</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Form of Preferred Stock Warrant Agreement and Warrant Certificate (incorporated by reference to Exhibit 4.10 to the registrant’s Registration Statement on Form S-3 (File No. 333-277951), filed with the SEC on March 14, 2024).</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Debt Securities Warrant Agreement and Warrant Certificate (incorporated by reference to Exhibit 4.11 to the registrant’s Registration Statement on Form S-3 (File No. 333-277951), filed with the SEC on March 14, 2024).</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Opinion of Cooley LLP.</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x3.htm">
              <w:r>
                <w:rPr>
                  <w:rStyle w:val="InternetLink"/>
                  <w:rFonts w:ascii="Times New Roman;serif" w:hAnsi="Times New Roman;serif"/>
                  <w:b w:val="false"/>
                  <w:color w:val="0000FF"/>
                  <w:sz w:val="20"/>
                  <w:u w:val="single"/>
                </w:rPr>
                <w:t>Consent of Independent Registered Public Accounting Firm.</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sx3.htm">
              <w:r>
                <w:rPr>
                  <w:rStyle w:val="InternetLink"/>
                  <w:rFonts w:ascii="Times New Roman;serif" w:hAnsi="Times New Roman;serif"/>
                  <w:b w:val="false"/>
                  <w:color w:val="0000FF"/>
                  <w:sz w:val="20"/>
                  <w:u w:val="single"/>
                </w:rPr>
                <w:t>Consent of Cooley LLP (included in Exhibit 5.1).</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ffd061d5efa4fedb74c028eba819da7_67">
              <w:r>
                <w:rPr>
                  <w:rStyle w:val="InternetLink"/>
                  <w:rFonts w:ascii="Times New Roman;serif" w:hAnsi="Times New Roman;serif"/>
                  <w:b w:val="false"/>
                  <w:color w:val="0000FF"/>
                  <w:sz w:val="20"/>
                  <w:u w:val="single"/>
                </w:rPr>
                <w:t>Power of Attorney (included on signature page).</w:t>
              </w:r>
            </w:hyperlink>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Eligibility of Trustee under the Indenture.</w:t>
            </w:r>
          </w:p>
        </w:tc>
      </w:tr>
      <w:tr>
        <w:trPr/>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llogeneexfilingfees0806.htm">
              <w:r>
                <w:rPr>
                  <w:rStyle w:val="InternetLink"/>
                  <w:rFonts w:ascii="Times New Roman;serif" w:hAnsi="Times New Roman;serif"/>
                  <w:b w:val="false"/>
                  <w:color w:val="0000FF"/>
                  <w:sz w:val="20"/>
                  <w:u w:val="single"/>
                </w:rPr>
                <w:t>Filing Fee Table</w:t>
              </w:r>
            </w:hyperlink>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*To be filed by amendment or by a report filed under the Securities Exchange Act of 1934, as amended, and incorporated herein by reference, if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II-2</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17. Undertakings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undersigned registrant hereby undertakes: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(a)(1) To file, during any period in which offers or sales are being made, a post-effective amendment to this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(i)To include any prospectus required by Section 10(a)(3) of the Securities Act;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(iii)To include any material information with respect to the plan of distribution not previously disclosed in the registration statement or any material change to such information in the registration statement;</w:t>
      </w:r>
    </w:p>
    <w:p>
      <w:pPr>
        <w:pStyle w:val="TextBody"/>
        <w:bidi w:val="0"/>
        <w:spacing w:lineRule="auto" w:line="288" w:before="0" w:after="180"/>
        <w:jc w:val="left"/>
        <w:rPr/>
      </w:pPr>
      <w:r>
        <w:rPr>
          <w:rFonts w:ascii="Times New Roman;serif" w:hAnsi="Times New Roman;serif"/>
          <w:b w:val="false"/>
          <w:i/>
          <w:color w:val="000000"/>
          <w:sz w:val="20"/>
        </w:rPr>
        <w:t>provided, however, </w:t>
      </w:r>
      <w:r>
        <w:rPr>
          <w:rFonts w:ascii="Times New Roman;serif" w:hAnsi="Times New Roman;serif"/>
          <w:b w:val="false"/>
          <w:color w:val="000000"/>
          <w:sz w:val="20"/>
        </w:rPr>
        <w:t>that the undertakings set forth in paragraphs (a)(1)(i), (a)(1)(ii) and (a)(1)(iii) above do not apply if the information required to be included in a post-effective amendment by those paragraphs is contained in reports filed with or furnished to the SEC by the registrant pursuant to Section 13 or Section 15(d) of the Securities Exchange Act of 1934, as amended (the Exchange Act), that are incorporated by reference in this registration statement or are contained in a form of prospectus filed pursuant to Rule 424(b) that is part of this registration statement.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(3)To remove from registration by means of a post-effective amendment any of the securities being registered which remain unsold at the termination of the offering.</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(4)That, for the purpose of determining liability under the Securities Act to any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(ii)Each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w:t>
      </w:r>
    </w:p>
    <w:p>
      <w:pPr>
        <w:pStyle w:val="TextBody"/>
        <w:bidi w:val="0"/>
        <w:spacing w:before="180" w:after="18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prospectus that was part of the registration statement or made in any such document immediately prior to such effective date.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South San Francisco, State of California, on August 12, 2026.</w:t>
      </w:r>
    </w:p>
    <w:tbl>
      <w:tblPr>
        <w:tblW w:w="4328" w:type="dxa"/>
        <w:jc w:val="left"/>
        <w:tblInd w:w="0" w:type="dxa"/>
        <w:tblLayout w:type="fixed"/>
        <w:tblCellMar>
          <w:top w:w="28" w:type="dxa"/>
          <w:left w:w="28" w:type="dxa"/>
          <w:bottom w:w="28" w:type="dxa"/>
          <w:right w:w="28" w:type="dxa"/>
        </w:tblCellMar>
      </w:tblPr>
      <w:tblGrid>
        <w:gridCol w:w="124"/>
        <w:gridCol w:w="109"/>
        <w:gridCol w:w="109"/>
        <w:gridCol w:w="260"/>
        <w:gridCol w:w="260"/>
        <w:gridCol w:w="260"/>
        <w:gridCol w:w="496"/>
        <w:gridCol w:w="496"/>
        <w:gridCol w:w="496"/>
        <w:gridCol w:w="496"/>
        <w:gridCol w:w="496"/>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Allogene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6" w:type="dxa"/>
            <w:gridSpan w:val="6"/>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Zachary Roberts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Zachary Roberts,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KNOW ALL BY THESE PRESENTS, that each person whose signature appears below constitutes and appoints Zachary Roberts, M.D., Ph.D., and Geoffrey Parker, and each of them,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462(b)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or he might or could do in person, hereby ratifying and confirming all that said attorneys-in-fact and agents, or their, his or her substitute or substitutes, may lawfully do or cause to be done by virtue hereof.</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this registration statement has been signed by the following persons in the capacities and on the dates indicated.</w:t>
      </w:r>
    </w:p>
    <w:tbl>
      <w:tblPr>
        <w:tblW w:w="10205" w:type="dxa"/>
        <w:jc w:val="left"/>
        <w:tblInd w:w="0" w:type="dxa"/>
        <w:tblLayout w:type="fixed"/>
        <w:tblCellMar>
          <w:top w:w="28" w:type="dxa"/>
          <w:left w:w="28" w:type="dxa"/>
          <w:bottom w:w="28" w:type="dxa"/>
          <w:right w:w="28" w:type="dxa"/>
        </w:tblCellMar>
      </w:tblPr>
      <w:tblGrid>
        <w:gridCol w:w="794"/>
        <w:gridCol w:w="633"/>
        <w:gridCol w:w="635"/>
        <w:gridCol w:w="109"/>
        <w:gridCol w:w="109"/>
        <w:gridCol w:w="109"/>
        <w:gridCol w:w="2085"/>
        <w:gridCol w:w="2050"/>
        <w:gridCol w:w="2076"/>
        <w:gridCol w:w="109"/>
        <w:gridCol w:w="109"/>
        <w:gridCol w:w="109"/>
        <w:gridCol w:w="372"/>
        <w:gridCol w:w="372"/>
        <w:gridCol w:w="534"/>
      </w:tblGrid>
      <w:tr>
        <w:trPr/>
        <w:tc>
          <w:tcPr>
            <w:tcW w:w="794"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Zachary Roberts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President, Chief Executive Officer and Member of the Board of Directors (</w:t>
            </w:r>
            <w:r>
              <w:rPr>
                <w:rFonts w:ascii="Times New Roman;serif" w:hAnsi="Times New Roman;serif"/>
                <w:b w:val="false"/>
                <w:i/>
                <w:color w:val="000000"/>
                <w:sz w:val="20"/>
              </w:rPr>
              <w:t>Principal Executive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Zachary Roberts,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Geoffrey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Financial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Geoffrey Parker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Annie Yoshiyama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Corporate Controller</w:t>
            </w:r>
          </w:p>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Principal Accounting Officer</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Annie Yoshiyama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Arie Belldegrun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Arie Belldegrun,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Barrett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Elizabeth Barrett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Chang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Chang,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DeYoung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DeYoung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Franz Humer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Franz Humer,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Joshua Kazam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Joshua Kazam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Stephen Mayo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2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Stephen Mayo,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8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6877" w:type="dxa"/>
        <w:jc w:val="left"/>
        <w:tblInd w:w="0" w:type="dxa"/>
        <w:tblLayout w:type="fixed"/>
        <w:tblCellMar>
          <w:top w:w="28" w:type="dxa"/>
          <w:left w:w="28" w:type="dxa"/>
          <w:bottom w:w="28" w:type="dxa"/>
          <w:right w:w="28" w:type="dxa"/>
        </w:tblCellMar>
      </w:tblPr>
      <w:tblGrid>
        <w:gridCol w:w="689"/>
        <w:gridCol w:w="605"/>
        <w:gridCol w:w="610"/>
        <w:gridCol w:w="109"/>
        <w:gridCol w:w="109"/>
        <w:gridCol w:w="109"/>
        <w:gridCol w:w="935"/>
        <w:gridCol w:w="935"/>
        <w:gridCol w:w="949"/>
        <w:gridCol w:w="109"/>
        <w:gridCol w:w="109"/>
        <w:gridCol w:w="109"/>
        <w:gridCol w:w="438"/>
        <w:gridCol w:w="438"/>
        <w:gridCol w:w="624"/>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Deborah Messemer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Deborah Messemer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Vicki Sato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Vicki Sato,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Owen Witte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Member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12, 2026</w:t>
            </w:r>
          </w:p>
        </w:tc>
      </w:tr>
      <w:tr>
        <w:trPr/>
        <w:tc>
          <w:tcPr>
            <w:tcW w:w="1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Owen Witte,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Normal"/>
        <w:bidi w:val="0"/>
        <w:spacing w:before="0" w:after="0"/>
        <w:jc w:val="left"/>
        <w:rPr>
          <w:sz w:val="4"/>
          <w:szCs w:val="4"/>
        </w:rPr>
      </w:pPr>
      <w:r>
        <w:rPr>
          <w:sz w:val="4"/>
          <w:szCs w:val="4"/>
        </w:rPr>
      </w:r>
      <w:bookmarkStart w:id="0" w:name="allogeneexfilingfees0806.htm"/>
      <w:bookmarkStart w:id="1" w:name="ksallogeneexfilingfees0806"/>
      <w:bookmarkStart w:id="2" w:name="allogeneexfilingfees0806.htm"/>
      <w:bookmarkStart w:id="3" w:name="ksallogeneexfilingfees0806"/>
      <w:bookmarkEnd w:id="2"/>
      <w:bookmarkEnd w:id="3"/>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578" w:type="dxa"/>
        <w:jc w:val="left"/>
        <w:tblInd w:w="0" w:type="dxa"/>
        <w:tblLayout w:type="fixed"/>
        <w:tblCellMar>
          <w:top w:w="28" w:type="dxa"/>
          <w:left w:w="28" w:type="dxa"/>
          <w:bottom w:w="28" w:type="dxa"/>
          <w:right w:w="28" w:type="dxa"/>
        </w:tblCellMar>
      </w:tblPr>
      <w:tblGrid>
        <w:gridCol w:w="3424"/>
        <w:gridCol w:w="154"/>
      </w:tblGrid>
      <w:tr>
        <w:trPr/>
        <w:tc>
          <w:tcPr>
            <w:tcW w:w="3578"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4"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4" w:type="dxa"/>
            <w:tcBorders/>
            <w:vAlign w:val="center"/>
          </w:tcPr>
          <w:p>
            <w:pPr>
              <w:pStyle w:val="TableContents"/>
              <w:bidi w:val="0"/>
              <w:spacing w:before="0" w:after="283"/>
              <w:jc w:val="left"/>
              <w:rPr>
                <w:b/>
              </w:rPr>
            </w:pPr>
            <w:r>
              <w:rPr>
                <w:b/>
              </w:rPr>
              <w:t xml:space="preserve">Allogene Therapeutics,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par value $0.001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 w:name="MaxAggtOfferingPrice"/>
            <w:bookmarkEnd w:id="4"/>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6" w:name="TotalPreviouslyPaidAmt"/>
            <w:bookmarkEnd w:id="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 w:name="TotalOffsetAmt"/>
            <w:bookmarkEnd w:id="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 w:name="NetFeeAmt"/>
            <w:bookmarkEnd w:id="8"/>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a. There are being registered hereunder such indeterminate number of shares of common stock, such indeterminate number of shares of preferred stock, such indeterminate principal amount of debt securities and such indeterminate number of warrants to purchase common stock, preferred stock or debt securities as shall have an aggregate initial offering price not to exceed $500,000,000. If any debt securities are issued at an original issue discount, then the principal amount of such debt securities shall be in such greater amount as shall result in an aggregate initial offering price not to exceed $500,000,000, less the aggregate dollar amount of all securities previously issued hereunder. The securities registered also include such indeterminate amount of all securities previously issued hereunder. The securities registered also include such indeterminate number of shares of common stock, preferred stock and amount of debt securities as may be issued upon conversion of or exchange for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shares of common stock and preferred stock as may be issuable with respect to the shares being registered hereunder as a result of stock splits, stock dividends or similar transactions. b.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under the heading "Instructions to the Calculation of Filing Fee Tables and Related Disclosure" of Part II, Item 16, of Form S-3 under the Securities Act.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5.1</w:t>
      </w:r>
    </w:p>
    <w:tbl>
      <w:tblPr>
        <w:tblW w:w="2633" w:type="dxa"/>
        <w:jc w:val="left"/>
        <w:tblInd w:w="0" w:type="dxa"/>
        <w:tblLayout w:type="fixed"/>
        <w:tblCellMar>
          <w:top w:w="28" w:type="dxa"/>
          <w:left w:w="28" w:type="dxa"/>
          <w:bottom w:w="28" w:type="dxa"/>
          <w:right w:w="28" w:type="dxa"/>
        </w:tblCellMar>
      </w:tblPr>
      <w:tblGrid>
        <w:gridCol w:w="819"/>
        <w:gridCol w:w="720"/>
        <w:gridCol w:w="722"/>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44767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23"/>
                          <a:stretch>
                            <a:fillRect/>
                          </a:stretch>
                        </pic:blipFill>
                        <pic:spPr bwMode="auto">
                          <a:xfrm>
                            <a:off x="0" y="0"/>
                            <a:ext cx="1371600" cy="4476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Asa M. Henin</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+1 858 550 6104</w:t>
            </w:r>
          </w:p>
          <w:p>
            <w:pPr>
              <w:pStyle w:val="TableContents"/>
              <w:bidi w:val="0"/>
              <w:spacing w:lineRule="atLeast" w:line="200" w:before="0" w:after="0"/>
              <w:jc w:val="left"/>
              <w:rPr>
                <w:rFonts w:ascii="Arial;sans-serif" w:hAnsi="Arial;sans-serif"/>
                <w:b w:val="false"/>
                <w:color w:val="000000"/>
                <w:sz w:val="20"/>
              </w:rPr>
            </w:pPr>
            <w:r>
              <w:rPr>
                <w:rFonts w:ascii="Arial;sans-serif" w:hAnsi="Arial;sans-serif"/>
                <w:b w:val="false"/>
                <w:color w:val="000000"/>
                <w:sz w:val="20"/>
              </w:rPr>
              <w:t xml:space="preserve">ahenin@cooley.com </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August 12, 2026</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Allogene Therapeutics, Inc.</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210 East Grand Avenue</w:t>
      </w:r>
    </w:p>
    <w:p>
      <w:pPr>
        <w:pStyle w:val="TextBody"/>
        <w:bidi w:val="0"/>
        <w:spacing w:lineRule="auto" w:line="288" w:before="0" w:after="220"/>
        <w:jc w:val="both"/>
        <w:rPr>
          <w:rFonts w:ascii="Arial;sans-serif" w:hAnsi="Arial;sans-serif"/>
          <w:b w:val="false"/>
          <w:color w:val="000000"/>
          <w:sz w:val="22"/>
        </w:rPr>
      </w:pPr>
      <w:r>
        <w:rPr>
          <w:rFonts w:ascii="Arial;sans-serif" w:hAnsi="Arial;sans-serif"/>
          <w:b w:val="false"/>
          <w:color w:val="000000"/>
          <w:sz w:val="22"/>
        </w:rPr>
        <w:t>South San Francisco, California 94080</w:t>
      </w:r>
    </w:p>
    <w:p>
      <w:pPr>
        <w:pStyle w:val="TextBody"/>
        <w:bidi w:val="0"/>
        <w:spacing w:lineRule="auto" w:line="288" w:before="0" w:after="240"/>
        <w:jc w:val="left"/>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lineRule="auto" w:line="288" w:before="0" w:after="240"/>
        <w:jc w:val="both"/>
        <w:rPr/>
      </w:pPr>
      <w:r>
        <w:rPr>
          <w:rFonts w:ascii="Arial;sans-serif" w:hAnsi="Arial;sans-serif"/>
          <w:b w:val="false"/>
          <w:color w:val="000000"/>
          <w:sz w:val="22"/>
        </w:rPr>
        <w:t>We have acted as counsel to Allogene Therapeutics, Inc., a Delaware corporation (the “</w:t>
      </w:r>
      <w:r>
        <w:rPr>
          <w:rFonts w:ascii="Arial;sans-serif" w:hAnsi="Arial;sans-serif"/>
          <w:b/>
          <w:i/>
          <w:color w:val="000000"/>
          <w:sz w:val="22"/>
        </w:rPr>
        <w:t>Company</w:t>
      </w:r>
      <w:r>
        <w:rPr>
          <w:color w:val="000000"/>
        </w:rPr>
        <w:t>”</w:t>
      </w:r>
      <w:r>
        <w:rPr>
          <w:rFonts w:ascii="Arial;sans-serif" w:hAnsi="Arial;sans-serif"/>
          <w:b w:val="false"/>
          <w:color w:val="000000"/>
          <w:sz w:val="22"/>
        </w:rPr>
        <w:t>), in connection with the filing by the Company with the Securities and Exchange Commission (the “</w:t>
      </w:r>
      <w:r>
        <w:rPr>
          <w:rFonts w:ascii="Arial;sans-serif" w:hAnsi="Arial;sans-serif"/>
          <w:b/>
          <w:i/>
          <w:color w:val="000000"/>
          <w:sz w:val="22"/>
        </w:rPr>
        <w:t>Commission</w:t>
      </w:r>
      <w:r>
        <w:rPr>
          <w:color w:val="000000"/>
        </w:rPr>
        <w:t>”</w:t>
      </w:r>
      <w:r>
        <w:rPr>
          <w:rFonts w:ascii="Arial;sans-serif" w:hAnsi="Arial;sans-serif"/>
          <w:b w:val="false"/>
          <w:color w:val="000000"/>
          <w:sz w:val="22"/>
        </w:rPr>
        <w:t>) of a Registration Statement on Form S-3 (the “</w:t>
      </w:r>
      <w:r>
        <w:rPr>
          <w:rFonts w:ascii="Arial;sans-serif" w:hAnsi="Arial;sans-serif"/>
          <w:b/>
          <w:i/>
          <w:color w:val="000000"/>
          <w:sz w:val="22"/>
        </w:rPr>
        <w:t>Registration Statement</w:t>
      </w:r>
      <w:r>
        <w:rPr>
          <w:color w:val="000000"/>
        </w:rPr>
        <w:t>”</w:t>
      </w:r>
      <w:r>
        <w:rPr>
          <w:rFonts w:ascii="Arial;sans-serif" w:hAnsi="Arial;sans-serif"/>
          <w:b w:val="false"/>
          <w:color w:val="000000"/>
          <w:sz w:val="22"/>
        </w:rPr>
        <w:t>) under the Securities Act of 1933, as amended (the “</w:t>
      </w:r>
      <w:r>
        <w:rPr>
          <w:rFonts w:ascii="Arial;sans-serif" w:hAnsi="Arial;sans-serif"/>
          <w:b/>
          <w:i/>
          <w:color w:val="000000"/>
          <w:sz w:val="22"/>
        </w:rPr>
        <w:t>Securities Act</w:t>
      </w:r>
      <w:r>
        <w:rPr>
          <w:color w:val="000000"/>
        </w:rPr>
        <w:t>”</w:t>
      </w:r>
      <w:r>
        <w:rPr>
          <w:rFonts w:ascii="Arial;sans-serif" w:hAnsi="Arial;sans-serif"/>
          <w:b w:val="false"/>
          <w:color w:val="000000"/>
          <w:sz w:val="22"/>
        </w:rPr>
        <w:t>). The Registration Statement includes a prospectus (the “</w:t>
      </w:r>
      <w:r>
        <w:rPr>
          <w:rFonts w:ascii="Arial;sans-serif" w:hAnsi="Arial;sans-serif"/>
          <w:b/>
          <w:i/>
          <w:color w:val="000000"/>
          <w:sz w:val="22"/>
        </w:rPr>
        <w:t>Base Prospectus</w:t>
      </w:r>
      <w:r>
        <w:rPr>
          <w:color w:val="000000"/>
        </w:rPr>
        <w:t>”</w:t>
      </w:r>
      <w:r>
        <w:rPr>
          <w:rFonts w:ascii="Arial;sans-serif" w:hAnsi="Arial;sans-serif"/>
          <w:b w:val="false"/>
          <w:color w:val="000000"/>
          <w:sz w:val="22"/>
        </w:rPr>
        <w:t>) that provides it will be supplemented by one or more prospectus supplements (each, a “</w:t>
      </w:r>
      <w:r>
        <w:rPr>
          <w:rFonts w:ascii="Arial;sans-serif" w:hAnsi="Arial;sans-serif"/>
          <w:b/>
          <w:i/>
          <w:color w:val="000000"/>
          <w:sz w:val="22"/>
        </w:rPr>
        <w:t>Prospectus Supplement</w:t>
      </w:r>
      <w:r>
        <w:rPr>
          <w:color w:val="000000"/>
        </w:rPr>
        <w:t>”</w:t>
      </w:r>
      <w:r>
        <w:rPr>
          <w:rFonts w:ascii="Arial;sans-serif" w:hAnsi="Arial;sans-serif"/>
          <w:b w:val="false"/>
          <w:color w:val="000000"/>
          <w:sz w:val="22"/>
        </w:rPr>
        <w:t>). The Registration Statement, including the Base Prospectus (as supplemented from time to time by one or more Prospectus Supplements), will provide for the registration by the Company of the sale of the following securities:</w:t>
      </w:r>
    </w:p>
    <w:p>
      <w:pPr>
        <w:pStyle w:val="TextBody"/>
        <w:bidi w:val="0"/>
        <w:spacing w:lineRule="auto" w:line="288" w:before="0" w:after="240"/>
        <w:ind w:left="0" w:right="0" w:hanging="330"/>
        <w:jc w:val="both"/>
        <w:rPr/>
      </w:pPr>
      <w:r>
        <w:rPr>
          <w:color w:val="000000"/>
        </w:rPr>
        <w:t>•</w:t>
      </w:r>
      <w:r>
        <w:rPr>
          <w:rFonts w:ascii="Arial;sans-serif" w:hAnsi="Arial;sans-serif"/>
          <w:b w:val="false"/>
          <w:color w:val="000000"/>
          <w:sz w:val="22"/>
        </w:rPr>
        <w:t>shares of common stock, par value $0.001 per share, of the Company (the “</w:t>
      </w:r>
      <w:r>
        <w:rPr>
          <w:rFonts w:ascii="Arial;sans-serif" w:hAnsi="Arial;sans-serif"/>
          <w:b/>
          <w:i/>
          <w:color w:val="000000"/>
          <w:sz w:val="22"/>
        </w:rPr>
        <w:t>Common Stock</w:t>
      </w:r>
      <w:r>
        <w:rPr>
          <w:color w:val="000000"/>
        </w:rPr>
        <w:t>”</w:t>
      </w:r>
      <w:r>
        <w:rPr>
          <w:rFonts w:ascii="Arial;sans-serif" w:hAnsi="Arial;sans-serif"/>
          <w:b w:val="false"/>
          <w:color w:val="000000"/>
          <w:sz w:val="22"/>
        </w:rPr>
        <w:t>);</w:t>
      </w:r>
    </w:p>
    <w:p>
      <w:pPr>
        <w:pStyle w:val="TextBody"/>
        <w:bidi w:val="0"/>
        <w:spacing w:lineRule="auto" w:line="288" w:before="0" w:after="240"/>
        <w:ind w:left="0" w:right="0" w:hanging="330"/>
        <w:jc w:val="both"/>
        <w:rPr/>
      </w:pPr>
      <w:r>
        <w:rPr>
          <w:color w:val="000000"/>
        </w:rPr>
        <w:t>•</w:t>
      </w:r>
      <w:r>
        <w:rPr>
          <w:rFonts w:ascii="Arial;sans-serif" w:hAnsi="Arial;sans-serif"/>
          <w:b w:val="false"/>
          <w:color w:val="000000"/>
          <w:sz w:val="22"/>
        </w:rPr>
        <w:t>shares of preferred stock, par value $0.001 per share, of the Company (the “</w:t>
      </w:r>
      <w:r>
        <w:rPr>
          <w:rFonts w:ascii="Arial;sans-serif" w:hAnsi="Arial;sans-serif"/>
          <w:b/>
          <w:i/>
          <w:color w:val="000000"/>
          <w:sz w:val="22"/>
        </w:rPr>
        <w:t>Preferred Stock</w:t>
      </w:r>
      <w:r>
        <w:rPr>
          <w:color w:val="000000"/>
        </w:rPr>
        <w:t>”</w:t>
      </w:r>
      <w:r>
        <w:rPr>
          <w:rFonts w:ascii="Arial;sans-serif" w:hAnsi="Arial;sans-serif"/>
          <w:b w:val="false"/>
          <w:color w:val="000000"/>
          <w:sz w:val="22"/>
        </w:rPr>
        <w:t xml:space="preserve">); </w:t>
      </w:r>
    </w:p>
    <w:p>
      <w:pPr>
        <w:pStyle w:val="TextBody"/>
        <w:bidi w:val="0"/>
        <w:spacing w:lineRule="auto" w:line="288" w:before="0" w:after="240"/>
        <w:ind w:left="0" w:right="0" w:hanging="330"/>
        <w:jc w:val="both"/>
        <w:rPr/>
      </w:pPr>
      <w:r>
        <w:rPr>
          <w:color w:val="000000"/>
        </w:rPr>
        <w:t>•</w:t>
      </w:r>
      <w:r>
        <w:rPr>
          <w:rFonts w:ascii="Arial;sans-serif" w:hAnsi="Arial;sans-serif"/>
          <w:b w:val="false"/>
          <w:color w:val="000000"/>
          <w:sz w:val="22"/>
        </w:rPr>
        <w:t>debt securities, in one or more series (the “</w:t>
      </w:r>
      <w:r>
        <w:rPr>
          <w:rFonts w:ascii="Arial;sans-serif" w:hAnsi="Arial;sans-serif"/>
          <w:b/>
          <w:i/>
          <w:color w:val="000000"/>
          <w:sz w:val="22"/>
        </w:rPr>
        <w:t>Debt Securities</w:t>
      </w:r>
      <w:r>
        <w:rPr>
          <w:color w:val="000000"/>
        </w:rPr>
        <w:t>”</w:t>
      </w:r>
      <w:r>
        <w:rPr>
          <w:rFonts w:ascii="Arial;sans-serif" w:hAnsi="Arial;sans-serif"/>
          <w:b w:val="false"/>
          <w:color w:val="000000"/>
          <w:sz w:val="22"/>
        </w:rPr>
        <w:t>), which may be issued pursuant to an indenture to be dated on or about the date of the first issuance of Debt Securities thereunder, by and between a trustee to be selected by the Company (the “</w:t>
      </w:r>
      <w:r>
        <w:rPr>
          <w:rFonts w:ascii="Arial;sans-serif" w:hAnsi="Arial;sans-serif"/>
          <w:b/>
          <w:i/>
          <w:color w:val="000000"/>
          <w:sz w:val="22"/>
        </w:rPr>
        <w:t>Trustee</w:t>
      </w:r>
      <w:r>
        <w:rPr>
          <w:color w:val="000000"/>
        </w:rPr>
        <w:t>”</w:t>
      </w:r>
      <w:r>
        <w:rPr>
          <w:rFonts w:ascii="Arial;sans-serif" w:hAnsi="Arial;sans-serif"/>
          <w:b w:val="false"/>
          <w:color w:val="000000"/>
          <w:sz w:val="22"/>
        </w:rPr>
        <w:t>) and the Company, in the form filed as Exhibit 4.6 to the Registration Statement and one or more indentures supplemental thereto with respect to any particular series of Debt Securities (the “</w:t>
      </w:r>
      <w:r>
        <w:rPr>
          <w:rFonts w:ascii="Arial;sans-serif" w:hAnsi="Arial;sans-serif"/>
          <w:b/>
          <w:i/>
          <w:color w:val="000000"/>
          <w:sz w:val="22"/>
        </w:rPr>
        <w:t>Indenture</w:t>
      </w:r>
      <w:r>
        <w:rPr>
          <w:color w:val="000000"/>
        </w:rPr>
        <w:t>”</w:t>
      </w:r>
      <w:r>
        <w:rPr>
          <w:rFonts w:ascii="Arial;sans-serif" w:hAnsi="Arial;sans-serif"/>
          <w:b w:val="false"/>
          <w:color w:val="000000"/>
          <w:sz w:val="22"/>
        </w:rPr>
        <w:t>); and</w:t>
      </w:r>
    </w:p>
    <w:p>
      <w:pPr>
        <w:pStyle w:val="TextBody"/>
        <w:bidi w:val="0"/>
        <w:spacing w:lineRule="auto" w:line="288" w:before="0" w:after="240"/>
        <w:ind w:left="0" w:right="0" w:hanging="330"/>
        <w:jc w:val="both"/>
        <w:rPr/>
      </w:pPr>
      <w:r>
        <w:rPr>
          <w:color w:val="000000"/>
        </w:rPr>
        <w:t>•</w:t>
      </w:r>
      <w:r>
        <w:rPr>
          <w:rFonts w:ascii="Arial;sans-serif" w:hAnsi="Arial;sans-serif"/>
          <w:b w:val="false"/>
          <w:color w:val="000000"/>
          <w:sz w:val="22"/>
        </w:rPr>
        <w:t>warrants to purchase Common Stock, Preferred Stock, or Debt Securities (the “</w:t>
      </w:r>
      <w:r>
        <w:rPr>
          <w:rFonts w:ascii="Arial;sans-serif" w:hAnsi="Arial;sans-serif"/>
          <w:b/>
          <w:i/>
          <w:color w:val="000000"/>
          <w:sz w:val="22"/>
        </w:rPr>
        <w:t>Warrants</w:t>
      </w:r>
      <w:r>
        <w:rPr>
          <w:color w:val="000000"/>
        </w:rPr>
        <w:t>”</w:t>
      </w:r>
      <w:r>
        <w:rPr>
          <w:rFonts w:ascii="Arial;sans-serif" w:hAnsi="Arial;sans-serif"/>
          <w:b w:val="false"/>
          <w:color w:val="000000"/>
          <w:sz w:val="22"/>
        </w:rPr>
        <w:t>), which may be issued under one or more warrant agreements, to be dated on or about the date of the first issuance of the Warrants thereunder, by and between a warrant agent to be selected by the Company (the “</w:t>
      </w:r>
      <w:r>
        <w:rPr>
          <w:rFonts w:ascii="Arial;sans-serif" w:hAnsi="Arial;sans-serif"/>
          <w:b/>
          <w:i/>
          <w:color w:val="000000"/>
          <w:sz w:val="22"/>
        </w:rPr>
        <w:t>Warrant Agent</w:t>
      </w:r>
      <w:r>
        <w:rPr>
          <w:color w:val="000000"/>
        </w:rPr>
        <w:t>”</w:t>
      </w:r>
      <w:r>
        <w:rPr>
          <w:rFonts w:ascii="Arial;sans-serif" w:hAnsi="Arial;sans-serif"/>
          <w:b w:val="false"/>
          <w:color w:val="000000"/>
          <w:sz w:val="22"/>
        </w:rPr>
        <w:t>) and the Company, in the forms filed as Exhibits 4.9, 4.10 and 4.11, respectively, to the Registration Statement (each, a “</w:t>
      </w:r>
      <w:r>
        <w:rPr>
          <w:rFonts w:ascii="Arial;sans-serif" w:hAnsi="Arial;sans-serif"/>
          <w:b/>
          <w:i/>
          <w:color w:val="000000"/>
          <w:sz w:val="22"/>
        </w:rPr>
        <w:t>Warrant Agreement</w:t>
      </w:r>
      <w:r>
        <w:rPr>
          <w:color w:val="000000"/>
        </w:rPr>
        <w:t>”</w:t>
      </w:r>
      <w:r>
        <w:rPr>
          <w:rFonts w:ascii="Arial;sans-serif" w:hAnsi="Arial;sans-serif"/>
          <w:b w:val="false"/>
          <w:color w:val="000000"/>
          <w:sz w:val="22"/>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The Common Stock, the Preferred Stock, the Debt Securities and the Warrants, plus any additional Common Stock, Preferred Stock, Debt Securities and Warrants that may be registered pursuant to any registration statement that the Company may hereafter file with the Commission pursuant to Rule 462(b) under the Securities Act in connection with an offering by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8285"/>
                <wp:effectExtent l="0" t="0" r="0" b="0"/>
                <wp:wrapNone/>
                <wp:docPr id="42" name="Frame40"/>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r>
                              <w:br w:type="page"/>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v:textbox>
                <w10:wrap type="none"/>
              </v:rect>
            </w:pict>
          </mc:Fallback>
        </mc:AlternateContent>
      </w:r>
    </w:p>
    <w:tbl>
      <w:tblPr>
        <w:tblW w:w="3146" w:type="dxa"/>
        <w:jc w:val="left"/>
        <w:tblInd w:w="0" w:type="dxa"/>
        <w:tblLayout w:type="fixed"/>
        <w:tblCellMar>
          <w:top w:w="28" w:type="dxa"/>
          <w:left w:w="28" w:type="dxa"/>
          <w:bottom w:w="28" w:type="dxa"/>
          <w:right w:w="28" w:type="dxa"/>
        </w:tblCellMar>
      </w:tblPr>
      <w:tblGrid>
        <w:gridCol w:w="1005"/>
        <w:gridCol w:w="883"/>
        <w:gridCol w:w="886"/>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44767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24"/>
                          <a:stretch>
                            <a:fillRect/>
                          </a:stretch>
                        </pic:blipFill>
                        <pic:spPr bwMode="auto">
                          <a:xfrm>
                            <a:off x="0" y="0"/>
                            <a:ext cx="1371600" cy="4476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Page Two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pPr>
      <w:r>
        <w:rPr>
          <w:rFonts w:ascii="Arial;sans-serif" w:hAnsi="Arial;sans-serif"/>
          <w:b w:val="false"/>
          <w:color w:val="000000"/>
          <w:sz w:val="22"/>
        </w:rPr>
        <w:t>the Company pursuant to the Registration Statement, are collectively referred to herein as the “</w:t>
      </w:r>
      <w:r>
        <w:rPr>
          <w:rFonts w:ascii="Arial;sans-serif" w:hAnsi="Arial;sans-serif"/>
          <w:b/>
          <w:i/>
          <w:color w:val="000000"/>
          <w:sz w:val="22"/>
        </w:rPr>
        <w:t>Securities</w:t>
      </w:r>
      <w:r>
        <w:rPr>
          <w:rFonts w:ascii="Arial;sans-serif" w:hAnsi="Arial;sans-serif"/>
          <w:b w:val="false"/>
          <w:color w:val="000000"/>
          <w:sz w:val="22"/>
        </w:rPr>
        <w:t>.” The Securities are being registered for offer and sale from time to time pursuant to Rule 415 under the Securities Act.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In connection with this opinion, we have examined and relied upon (a) the Registration Statement and the Base Prospectus, (b) the Company’s certificate of incorporation and bylaws, each as currently in effect, and (c) such other records, documents, certificates, opinions,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authorization, execution and delivery are prerequisites to the effectiveness thereof. As to certain factual matters, we have relied upon a certificate of an officer of the Company and have not independently verified such matters.</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With respect to our opinion as to the Common Stock, we have assumed that, at the time of issuance and sale, a sufficient number of shares of Common Stock will be authorized and available for issuance and that the consideration for the issuance and sale of the Common Stock (or Preferred Stock or Debt Securities convertible into, or Warrants exercisable for, Common Stock) will be in an amount that is not less than the par value of the Common Stock. With respect to our opinion as to the Preferred Stock, we have assumed that, at the time of issuance and sale, a sufficient number of shares of Preferred Stock will be authorized, designated and available for issuance and that the consideration for the issuance and sale of the Preferred Stock (or Debt Securities convertible into, or Warrants exercisable for, Preferred Stock) will be in an amount that is not less than the par value of the Preferred Stock. We have also assumed that any Debt Securities or Warrants offered under the Registration Statement, and the related Indenture and Warrant Agreement will be executed in the forms filed as exhibits to the Registration Statement or incorporated by reference therein. We have also assumed that (i) with respect to Securities issuable upon conversion of any convertible Preferred Stock, such convertible Preferred Stock will be duly authorized, validly issued, fully paid and nonassessable; and (ii) with respect to any Securities issuable upon conversion of any convertible Debt Securities or upon exercise of any Warrants, such convertible Debt Securities or Warrants will constitute valid and legally binding obligations of the Company, enforceable against the Company in accordance with their terms, except as enforcement may be limited by applicable bankruptcy, insolvency, reorganization, arrangement, moratorium or other similar laws affecting creditors’ rights, and subject to general equity principles and to limitations on availability of equitable relief, including specific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 xml:space="preserve">Our opinion herein is expressed solely with respect to the General Corporation Law of the State of Delaware and, as to the Debt Securities and the Warrants constituting binding obligations of the Company, the laws of the State of New York. Our opinion is based on these laws as in effect on the date hereof. We express no opinion to the extent that any other laws are applicable to the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8285"/>
                <wp:effectExtent l="0" t="0" r="0" b="0"/>
                <wp:wrapNone/>
                <wp:docPr id="44" name="Frame41"/>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r>
                              <w:br w:type="page"/>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v:textbox>
                <w10:wrap type="none"/>
              </v:rect>
            </w:pict>
          </mc:Fallback>
        </mc:AlternateContent>
      </w:r>
    </w:p>
    <w:tbl>
      <w:tblPr>
        <w:tblW w:w="3146" w:type="dxa"/>
        <w:jc w:val="left"/>
        <w:tblInd w:w="0" w:type="dxa"/>
        <w:tblLayout w:type="fixed"/>
        <w:tblCellMar>
          <w:top w:w="28" w:type="dxa"/>
          <w:left w:w="28" w:type="dxa"/>
          <w:bottom w:w="28" w:type="dxa"/>
          <w:right w:w="28" w:type="dxa"/>
        </w:tblCellMar>
      </w:tblPr>
      <w:tblGrid>
        <w:gridCol w:w="1005"/>
        <w:gridCol w:w="883"/>
        <w:gridCol w:w="886"/>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447675"/>
                  <wp:effectExtent l="0" t="0" r="0" b="0"/>
                  <wp:docPr id="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 descr=""/>
                          <pic:cNvPicPr>
                            <a:picLocks noChangeAspect="1" noChangeArrowheads="1"/>
                          </pic:cNvPicPr>
                        </pic:nvPicPr>
                        <pic:blipFill>
                          <a:blip r:embed="rId25"/>
                          <a:stretch>
                            <a:fillRect/>
                          </a:stretch>
                        </pic:blipFill>
                        <pic:spPr bwMode="auto">
                          <a:xfrm>
                            <a:off x="0" y="0"/>
                            <a:ext cx="1371600" cy="4476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Page Three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subject matter hereof and express no opinion and provide no assurance as to compliance with any federal or state securities law, rule or regulation.</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On the basis of the foregoing, in reliance thereon and subject to the assumptions, exceptions, limitations and qualifications set forth herein, we are of the opinion that:</w:t>
      </w:r>
    </w:p>
    <w:p>
      <w:pPr>
        <w:pStyle w:val="TextBody"/>
        <w:bidi w:val="0"/>
        <w:spacing w:lineRule="auto" w:line="288" w:before="0" w:after="240"/>
        <w:ind w:left="0" w:right="0" w:firstLine="720"/>
        <w:jc w:val="both"/>
        <w:rPr/>
      </w:pPr>
      <w:r>
        <w:rPr>
          <w:rFonts w:ascii="Arial;sans-serif" w:hAnsi="Arial;sans-serif"/>
          <w:b/>
          <w:color w:val="000000"/>
          <w:sz w:val="22"/>
        </w:rPr>
        <w:t>1.     </w:t>
      </w:r>
      <w:r>
        <w:rPr>
          <w:rFonts w:ascii="Arial;sans-serif" w:hAnsi="Arial;sans-serif"/>
          <w:b w:val="false"/>
          <w:color w:val="000000"/>
          <w:sz w:val="22"/>
        </w:rPr>
        <w:t>With respect to the Common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issuance of the Common Stock has been duly authorized by all necessary corporate action on the part of the Company; (c) the issuance and sale of the Common Stock do not violate any applicable law, are in conformity with the Company’s then operative certificate of incorporation (the “</w:t>
      </w:r>
      <w:r>
        <w:rPr>
          <w:rFonts w:ascii="Arial;sans-serif" w:hAnsi="Arial;sans-serif"/>
          <w:b/>
          <w:i/>
          <w:color w:val="000000"/>
          <w:sz w:val="22"/>
        </w:rPr>
        <w:t>Certificate of Incorporation</w:t>
      </w:r>
      <w:r>
        <w:rPr>
          <w:color w:val="000000"/>
        </w:rPr>
        <w:t>”</w:t>
      </w:r>
      <w:r>
        <w:rPr>
          <w:rFonts w:ascii="Arial;sans-serif" w:hAnsi="Arial;sans-serif"/>
          <w:b w:val="false"/>
          <w:color w:val="000000"/>
          <w:sz w:val="22"/>
        </w:rPr>
        <w:t>) and bylaws (the “</w:t>
      </w:r>
      <w:r>
        <w:rPr>
          <w:rFonts w:ascii="Arial;sans-serif" w:hAnsi="Arial;sans-serif"/>
          <w:b/>
          <w:i/>
          <w:color w:val="000000"/>
          <w:sz w:val="22"/>
        </w:rPr>
        <w:t>Bylaws</w:t>
      </w:r>
      <w:r>
        <w:rPr>
          <w:color w:val="000000"/>
        </w:rPr>
        <w:t>”</w:t>
      </w:r>
      <w:r>
        <w:rPr>
          <w:rFonts w:ascii="Arial;sans-serif" w:hAnsi="Arial;sans-serif"/>
          <w:b w:val="false"/>
          <w:color w:val="000000"/>
          <w:sz w:val="22"/>
        </w:rPr>
        <w:t>), do not result in a default under or breach of any agreement or instrument binding upon the Company and comply with any applicable requirement or restriction imposed by any court or governmental body having jurisdiction over the Company; and (d) the certificates, if any, for the Common Stock have been duly executed by the Company, countersigned by the transfer agent therefor and duly delivered to the purchasers thereof against payment therefor, then the Common Stock, when issued and sold in accordance with a duly authorized, executed and delivered purchase, underwriting or similar agreement, or upon conversion of any convertible Preferred Stock or convertible Debt Securities in accordance with their terms, or upon exercise of any Warrants in accordance with their terms, will be validly issued, fully paid and nonassessable.</w:t>
      </w:r>
    </w:p>
    <w:p>
      <w:pPr>
        <w:pStyle w:val="TextBody"/>
        <w:bidi w:val="0"/>
        <w:spacing w:lineRule="auto" w:line="288" w:before="0" w:after="240"/>
        <w:ind w:left="0" w:right="0" w:firstLine="720"/>
        <w:jc w:val="both"/>
        <w:rPr/>
      </w:pPr>
      <w:r>
        <w:rPr>
          <w:rFonts w:ascii="Arial;sans-serif" w:hAnsi="Arial;sans-serif"/>
          <w:b/>
          <w:color w:val="000000"/>
          <w:sz w:val="22"/>
        </w:rPr>
        <w:t>2.     </w:t>
      </w:r>
      <w:r>
        <w:rPr>
          <w:rFonts w:ascii="Arial;sans-serif" w:hAnsi="Arial;sans-serif"/>
          <w:b w:val="false"/>
          <w:color w:val="000000"/>
          <w:sz w:val="22"/>
        </w:rPr>
        <w:t>With respect to the Preferred Stock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terms and issuance of the Preferred Stock have been duly authorized by all necessary corporate action on the part of the Company; (c) the terms of the shares of Preferred Stock and their issuance and sale do not violate any applicable law, are in conformity with the Certificate of Incorporation and the Bylaws, do not result in a default under or breach of any agreement or instrument binding upon the Company and comply with any applicable requirement or restriction imposed by any court or governmental body having jurisdiction over the Company; and (d) the certificates, if any, for the Preferred Stock have been duly executed by the Company, countersigned by the transfer agent therefor and duly delivered to the purchasers thereof against payment therefor, then the Preferred Stock, when issued and sold in accordance with a duly authorized, executed and delivered purchase, underwriting or similar agreement, or upon conversion of any convertible Debt Securities in accordance with their terms, or upon exercise of any Warrants in accordance with their terms, will be validly issued, fully paid and nonassessable.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8285"/>
                <wp:effectExtent l="0" t="0" r="0" b="0"/>
                <wp:wrapNone/>
                <wp:docPr id="46" name="Frame42"/>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r>
                              <w:br w:type="page"/>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v:textbox>
                <w10:wrap type="none"/>
              </v:rect>
            </w:pict>
          </mc:Fallback>
        </mc:AlternateContent>
      </w:r>
    </w:p>
    <w:tbl>
      <w:tblPr>
        <w:tblW w:w="3146" w:type="dxa"/>
        <w:jc w:val="left"/>
        <w:tblInd w:w="0" w:type="dxa"/>
        <w:tblLayout w:type="fixed"/>
        <w:tblCellMar>
          <w:top w:w="28" w:type="dxa"/>
          <w:left w:w="28" w:type="dxa"/>
          <w:bottom w:w="28" w:type="dxa"/>
          <w:right w:w="28" w:type="dxa"/>
        </w:tblCellMar>
      </w:tblPr>
      <w:tblGrid>
        <w:gridCol w:w="1005"/>
        <w:gridCol w:w="883"/>
        <w:gridCol w:w="886"/>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447675"/>
                  <wp:effectExtent l="0" t="0" r="0" b="0"/>
                  <wp:docPr id="4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5" descr=""/>
                          <pic:cNvPicPr>
                            <a:picLocks noChangeAspect="1" noChangeArrowheads="1"/>
                          </pic:cNvPicPr>
                        </pic:nvPicPr>
                        <pic:blipFill>
                          <a:blip r:embed="rId26"/>
                          <a:stretch>
                            <a:fillRect/>
                          </a:stretch>
                        </pic:blipFill>
                        <pic:spPr bwMode="auto">
                          <a:xfrm>
                            <a:off x="0" y="0"/>
                            <a:ext cx="1371600" cy="4476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Page Four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both"/>
        <w:rPr/>
      </w:pPr>
      <w:r>
        <w:rPr>
          <w:rFonts w:ascii="Arial;sans-serif" w:hAnsi="Arial;sans-serif"/>
          <w:b/>
          <w:color w:val="000000"/>
          <w:sz w:val="22"/>
        </w:rPr>
        <w:t>3.     </w:t>
      </w:r>
      <w:r>
        <w:rPr>
          <w:rFonts w:ascii="Arial;sans-serif" w:hAnsi="Arial;sans-serif"/>
          <w:b w:val="false"/>
          <w:color w:val="000000"/>
          <w:sz w:val="22"/>
        </w:rPr>
        <w:t>With respect to any series of the Debt Securities issued under the Indenture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Indenture has been duly authorized by the Company and the Trustee by all necessary corporate action; (c) the Indenture has been duly executed and delivered by the Company and the Trustee and has been qualified under the Trust Indenture Act of 1939, as amended; (d) the terms of the Debt Securities and their issuance and sale have been duly authorized by the Company by all necessary corporate action; (e) the terms of the Debt Securities and their issuance and sale have been duly established in conformity with the Indenture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notes representing the Debt Securities have been duly executed and delivered by the Company and authenticated by the Trustee pursuant to the Indenture and delivered against payment therefor, then the Debt Securities, when issued and sold in accordance with the Indenture and a duly authorized, executed and delivered purchase, underwriting or similar agreement, or upon exercise of any Warrants in accordance with their terms,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240"/>
        <w:ind w:left="0" w:right="0" w:firstLine="720"/>
        <w:jc w:val="both"/>
        <w:rPr/>
      </w:pPr>
      <w:r>
        <w:rPr>
          <w:rFonts w:ascii="Arial;sans-serif" w:hAnsi="Arial;sans-serif"/>
          <w:b/>
          <w:color w:val="000000"/>
          <w:sz w:val="22"/>
        </w:rPr>
        <w:t>4.     </w:t>
      </w:r>
      <w:r>
        <w:rPr>
          <w:rFonts w:ascii="Arial;sans-serif" w:hAnsi="Arial;sans-serif"/>
          <w:b w:val="false"/>
          <w:color w:val="000000"/>
          <w:sz w:val="22"/>
        </w:rPr>
        <w:t xml:space="preserve">With respect to the Warrants issued under the Warrant Agreements and offered under the Registration Statement, provided that (a) the Registration Statement and any required post-effective amendment thereto have become effective under the Securities Act and the Base Prospectus and any and all Prospectus Supplement(s) required by applicable laws have been delivered and filed as required by such laws; (b) the applicable Warrant Agreement has been duly authorized by the Company and the Warrant Agent by all necessary corporate action; (c) the applicable Warrant Agreement has been duly executed and delivered by the Company and the Warrant Agent; (d) the issuance and terms of the Warrants have been duly authorized by the Company by all necessary corporate action; (e) the terms of the Warrants and of their issuance and sale have been duly established in conformity with the applicable Warrant Agreement and as described in the Registration Statement, the Base Prospectus and the related Prospectus Supplement(s), so as not to violate any applicable law or result in a default under or breach of any agreement or instrument binding upon the Company, so as to be in conformity with the Certificate of Incorporation and the Bylaws, and so as to comply with any requirement or restriction imposed by any court or governmental body having jurisdiction over the Company; and (f) the Warrants have been duly executed and delivered by the Company and authenticated by the Warrant Agent pursuant to the applicable Warrant Agreement and delivered against payment therefor, then the Warrants, when issued and sold in accordance with the applicable Warrant Agreement and a duly authorized, executed and delivered purchase, underwriting 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8285"/>
                <wp:effectExtent l="0" t="0" r="0" b="0"/>
                <wp:wrapNone/>
                <wp:docPr id="48" name="Frame43"/>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r>
                              <w:br w:type="page"/>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v:textbox>
                <w10:wrap type="none"/>
              </v:rect>
            </w:pict>
          </mc:Fallback>
        </mc:AlternateContent>
      </w:r>
    </w:p>
    <w:tbl>
      <w:tblPr>
        <w:tblW w:w="3146" w:type="dxa"/>
        <w:jc w:val="left"/>
        <w:tblInd w:w="0" w:type="dxa"/>
        <w:tblLayout w:type="fixed"/>
        <w:tblCellMar>
          <w:top w:w="28" w:type="dxa"/>
          <w:left w:w="28" w:type="dxa"/>
          <w:bottom w:w="28" w:type="dxa"/>
          <w:right w:w="28" w:type="dxa"/>
        </w:tblCellMar>
      </w:tblPr>
      <w:tblGrid>
        <w:gridCol w:w="1005"/>
        <w:gridCol w:w="883"/>
        <w:gridCol w:w="886"/>
        <w:gridCol w:w="109"/>
        <w:gridCol w:w="109"/>
        <w:gridCol w:w="154"/>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447675"/>
                  <wp:effectExtent l="0" t="0" r="0" b="0"/>
                  <wp:docPr id="4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6" descr=""/>
                          <pic:cNvPicPr>
                            <a:picLocks noChangeAspect="1" noChangeArrowheads="1"/>
                          </pic:cNvPicPr>
                        </pic:nvPicPr>
                        <pic:blipFill>
                          <a:blip r:embed="rId27"/>
                          <a:stretch>
                            <a:fillRect/>
                          </a:stretch>
                        </pic:blipFill>
                        <pic:spPr bwMode="auto">
                          <a:xfrm>
                            <a:off x="0" y="0"/>
                            <a:ext cx="1371600" cy="4476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2"/>
              </w:rPr>
            </w:pPr>
            <w:r>
              <w:rPr>
                <w:rFonts w:ascii="Arial;sans-serif" w:hAnsi="Arial;sans-serif"/>
                <w:b w:val="false"/>
                <w:color w:val="000000"/>
                <w:sz w:val="22"/>
              </w:rPr>
              <w:t>Page Five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similar agreement, will be binding obligations of the Company, except as may be limited by bankruptcy, insolvency, reorganization, moratorium or other similar laws relating to or affecting creditors’ rights generally, and by general equitable principles (regardless of whether considered in a proceeding at law or in equity).</w:t>
      </w:r>
    </w:p>
    <w:p>
      <w:pPr>
        <w:pStyle w:val="TextBody"/>
        <w:bidi w:val="0"/>
        <w:spacing w:lineRule="auto" w:line="288" w:before="0" w:after="0"/>
        <w:jc w:val="center"/>
        <w:rPr/>
      </w:pPr>
      <w:r>
        <w:rPr>
          <w:rFonts w:ascii="Arial;sans-serif" w:hAnsi="Arial;sans-serif"/>
          <w:b w:val="false"/>
          <w:color w:val="000000"/>
          <w:sz w:val="22"/>
        </w:rPr>
        <w:t>****</w:t>
      </w:r>
      <w:r>
        <w:rPr>
          <w:rFonts w:ascii="Arial;sans-serif" w:hAnsi="Arial;sans-serif"/>
          <w:b/>
          <w:color w:val="000000"/>
          <w:sz w:val="22"/>
        </w:rPr>
        <w:t>*</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Our opinion set forth above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opinion to reflect any facts or circumstances that may hereafter come to our attention or any changes in law that may hereafter occur.</w:t>
      </w:r>
    </w:p>
    <w:p>
      <w:pPr>
        <w:pStyle w:val="TextBody"/>
        <w:bidi w:val="0"/>
        <w:spacing w:lineRule="auto" w:line="288" w:before="0" w:after="240"/>
        <w:jc w:val="both"/>
        <w:rPr>
          <w:rFonts w:ascii="Arial;sans-serif" w:hAnsi="Arial;sans-serif"/>
          <w:b w:val="false"/>
          <w:color w:val="000000"/>
          <w:sz w:val="22"/>
        </w:rPr>
      </w:pPr>
      <w:r>
        <w:rPr>
          <w:rFonts w:ascii="Arial;sans-serif" w:hAnsi="Arial;sans-serif"/>
          <w:b w:val="false"/>
          <w:color w:val="000000"/>
          <w:sz w:val="22"/>
        </w:rPr>
        <w:t>We hereby consent to the filing of this opinion as an exhibit to the Registration Statement and to the reference to our firm under the caption “Legal Matters” in the Base Prospectus. We further consent to the incorporation by reference of this opinion into any registration statement filed pursuant to Rule 462(b) under the Securities Act with respect to additional Securities. In giving such consents, we do not thereby admit that we are in the category of persons whose consent is required under Section 7 of the Securities Act or the rules and regulations of the Commission thereunder.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Sincerely,</w:t>
      </w:r>
    </w:p>
    <w:p>
      <w:pPr>
        <w:pStyle w:val="TextBody"/>
        <w:bidi w:val="0"/>
        <w:spacing w:lineRule="auto" w:line="288" w:before="0" w:after="360"/>
        <w:jc w:val="both"/>
        <w:rPr>
          <w:rFonts w:ascii="Arial;sans-serif" w:hAnsi="Arial;sans-serif"/>
          <w:b w:val="false"/>
          <w:color w:val="000000"/>
          <w:sz w:val="20"/>
        </w:rPr>
      </w:pPr>
      <w:r>
        <w:rPr>
          <w:rFonts w:ascii="Arial;sans-serif" w:hAnsi="Arial;sans-serif"/>
          <w:b w:val="false"/>
          <w:color w:val="000000"/>
          <w:sz w:val="20"/>
        </w:rPr>
        <w:t>Cooley LLP</w:t>
      </w:r>
    </w:p>
    <w:tbl>
      <w:tblPr>
        <w:tblW w:w="2367" w:type="dxa"/>
        <w:jc w:val="left"/>
        <w:tblInd w:w="0" w:type="dxa"/>
        <w:tblLayout w:type="fixed"/>
        <w:tblCellMar>
          <w:top w:w="28" w:type="dxa"/>
          <w:left w:w="28" w:type="dxa"/>
          <w:bottom w:w="28" w:type="dxa"/>
          <w:right w:w="28" w:type="dxa"/>
        </w:tblCellMar>
      </w:tblPr>
      <w:tblGrid>
        <w:gridCol w:w="151"/>
        <w:gridCol w:w="134"/>
        <w:gridCol w:w="135"/>
        <w:gridCol w:w="524"/>
        <w:gridCol w:w="524"/>
        <w:gridCol w:w="527"/>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/s/ Asa M. Henin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Asa M. Henin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8285"/>
                <wp:effectExtent l="0" t="0" r="0" b="0"/>
                <wp:wrapNone/>
                <wp:docPr id="50" name="Frame44"/>
                <a:graphic xmlns:a="http://schemas.openxmlformats.org/drawingml/2006/main">
                  <a:graphicData uri="http://schemas.microsoft.com/office/word/2010/wordprocessingShape">
                    <wps:wsp>
                      <wps:cNvSpPr txBox="1"/>
                      <wps:spPr>
                        <a:xfrm>
                          <a:off x="0" y="0"/>
                          <a:ext cx="6480175" cy="248285"/>
                        </a:xfrm>
                        <a:prstGeom prst="rect"/>
                        <a:solidFill>
                          <a:srgbClr val="FFFFFF"/>
                        </a:solidFill>
                      </wps:spPr>
                      <wps:txb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 xml:space="preserve">Cooley LLP 10265 Science Center Drive San Diego, CA 92121-1117 </w:t>
                      </w:r>
                    </w:p>
                    <w:p>
                      <w:pPr>
                        <w:pStyle w:val="TextBody"/>
                        <w:bidi w:val="0"/>
                        <w:spacing w:lineRule="auto" w:line="343" w:before="0" w:after="0"/>
                        <w:jc w:val="center"/>
                        <w:rPr>
                          <w:rFonts w:ascii="Arial;sans-serif" w:hAnsi="Arial;sans-serif"/>
                          <w:b w:val="false"/>
                          <w:color w:val="000000"/>
                          <w:sz w:val="14"/>
                        </w:rPr>
                      </w:pPr>
                      <w:r>
                        <w:rPr>
                          <w:rFonts w:ascii="Arial;sans-serif" w:hAnsi="Arial;sans-serif"/>
                          <w:b w:val="false"/>
                          <w:color w:val="000000"/>
                          <w:sz w:val="14"/>
                        </w:rPr>
                        <w:t>t: +1 858 550 6000 f: +1 858 550-6420 cooley.com</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Independent Registered Public Accounting Firm</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consent to the reference to our firm under the caption “Experts” in the Registration Statement on Form S-3 and related Prospectus of Allogene Therapeutics, Inc. for the registration of its common stock, preferred stock, debt securities and warrants and to the incorporation by reference therein of our report dated March 12, 2026, with respect to the consolidated financial statements of Allogene Therapeutics, Inc. included in its Annual Report (Form 10-K) for the year ended December 31, 2025, filed with the Securities and Exchange Commission.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 Ernst &amp; Young LLP</w:t>
      </w:r>
    </w:p>
    <w:p>
      <w:pPr>
        <w:pStyle w:val="TextBody"/>
        <w:bidi w:val="0"/>
        <w:spacing w:lineRule="auto" w:line="288" w:before="36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San Mateo, California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August 12, 2026</w:t>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737287/000162828026017242/allo-20251231.htm" TargetMode="External"/><Relationship Id="rId4" Type="http://schemas.openxmlformats.org/officeDocument/2006/relationships/hyperlink" Target="https://www.sec.gov/ix?doc=/Archives/edgar/data/0001737287/000162828026028948/allo-20260430.htm" TargetMode="External"/><Relationship Id="rId5" Type="http://schemas.openxmlformats.org/officeDocument/2006/relationships/hyperlink" Target="https://www.sec.gov/ix?doc=/Archives/edgar/data/0001737287/000162828026034585/allo-20260331.htm" TargetMode="External"/><Relationship Id="rId6" Type="http://schemas.openxmlformats.org/officeDocument/2006/relationships/hyperlink" Target="https://www.sec.gov/ix?doc=/Archives/edgar/data/0001737287/000162828026056213/allo-20260630.htm" TargetMode="External"/><Relationship Id="rId7" Type="http://schemas.openxmlformats.org/officeDocument/2006/relationships/hyperlink" Target="https://www.sec.gov/ix?doc=/Archives/edgar/data/0001737287/000119312526151999/d49895d8k.htm" TargetMode="External"/><Relationship Id="rId8" Type="http://schemas.openxmlformats.org/officeDocument/2006/relationships/hyperlink" Target="https://www.sec.gov/ix?doc=/Archives/edgar/data/0001737287/000119312526152866/d249901d8k.htm" TargetMode="External"/><Relationship Id="rId9" Type="http://schemas.openxmlformats.org/officeDocument/2006/relationships/hyperlink" Target="https://www.sec.gov/ix?doc=/Archives/edgar/data/0001737287/000119312526157140/d283634d8k.htm" TargetMode="External"/><Relationship Id="rId10" Type="http://schemas.openxmlformats.org/officeDocument/2006/relationships/hyperlink" Target="https://www.sec.gov/ix?doc=/Archives/edgar/data/0001737287/000162828026034583/allo-20260512.htm" TargetMode="External"/><Relationship Id="rId11" Type="http://schemas.openxmlformats.org/officeDocument/2006/relationships/hyperlink" Target="https://www.sec.gov/ix?doc=/Archives/edgar/data/0001737287/000119312526245484/d65280d8k.htm" TargetMode="External"/><Relationship Id="rId12" Type="http://schemas.openxmlformats.org/officeDocument/2006/relationships/hyperlink" Target="https://www.sec.gov/ix?doc=/Archives/edgar/data/1737287/000162828026044618/allo-20260618.htm" TargetMode="External"/><Relationship Id="rId13" Type="http://schemas.openxmlformats.org/officeDocument/2006/relationships/hyperlink" Target="https://www.sec.gov/Archives/edgar/data/1737287/000173728723000018/allo-20221231xex43.htm" TargetMode="External"/><Relationship Id="rId14" Type="http://schemas.openxmlformats.org/officeDocument/2006/relationships/hyperlink" Target="https://www.sec.gov/Archives/edgar/data/1737287/000119312518299356/d622265dex31.htm" TargetMode="External"/><Relationship Id="rId15" Type="http://schemas.openxmlformats.org/officeDocument/2006/relationships/hyperlink" Target="https://www.sec.gov/Archives/edgar/data/1737287/000173728722000039/allo-20220617x8kxexhibit31.htm" TargetMode="External"/><Relationship Id="rId16" Type="http://schemas.openxmlformats.org/officeDocument/2006/relationships/hyperlink" Target="https://www.sec.gov/Archives/edgar/data/1737287/000162828026044618/exhibit31toform2026annualm.htm" TargetMode="External"/><Relationship Id="rId17" Type="http://schemas.openxmlformats.org/officeDocument/2006/relationships/hyperlink" Target="https://www.sec.gov/Archives/edgar/data/1737287/000119312518299356/d622265dex32.htm" TargetMode="External"/><Relationship Id="rId18" Type="http://schemas.openxmlformats.org/officeDocument/2006/relationships/hyperlink" Target="https://www.sec.gov/Archives/edgar/data/1737287/000119312518290441/d548088dex41.htm" TargetMode="External"/><Relationship Id="rId19" Type="http://schemas.openxmlformats.org/officeDocument/2006/relationships/hyperlink" Target="https://www.sec.gov/Archives/edgar/data/1737287/000119312524068041/d780013dex46.htm" TargetMode="External"/><Relationship Id="rId20" Type="http://schemas.openxmlformats.org/officeDocument/2006/relationships/hyperlink" Target="https://www.sec.gov/Archives/edgar/data/1737287/000119312524068041/d780013dex49.htm" TargetMode="External"/><Relationship Id="rId21" Type="http://schemas.openxmlformats.org/officeDocument/2006/relationships/hyperlink" Target="https://www.sec.gov/Archives/edgar/data/1737287/000119312524068041/d780013dex410.htm" TargetMode="External"/><Relationship Id="rId22" Type="http://schemas.openxmlformats.org/officeDocument/2006/relationships/hyperlink" Target="https://www.sec.gov/Archives/edgar/data/1737287/000119312524068041/d780013dex411.htm" TargetMode="External"/><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22122</Words>
  <Characters>116688</Characters>
  <CharactersWithSpaces>138157</CharactersWithSpaces>
  <Paragraphs>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