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4796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4796155"/>
                    </a:xfrm>
                    <a:prstGeom prst="rect">
                      <a:avLst/>
                    </a:prstGeom>
                    <a:noFill/>
                  </pic:spPr>
                </pic:pic>
              </a:graphicData>
            </a:graphic>
          </wp:anchor>
        </w:drawing>
      </w:r>
    </w:p>
    <w:p>
      <w:pPr>
        <w:spacing w:after="0" w:line="1157"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Kazam Joshua A</w:t>
              </w:r>
            </w:hyperlink>
          </w:p>
        </w:tc>
        <w:tc>
          <w:tcPr>
            <w:tcW w:w="10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Allogene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ALLO</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0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bottom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380" w:type="dxa"/>
            <w:vAlign w:val="bottom"/>
            <w:tcBorders>
              <w:bottom w:val="single" w:sz="8" w:color="0000EE"/>
            </w:tcBorders>
            <w:gridSpan w:val="2"/>
            <w:vMerge w:val="continue"/>
          </w:tcPr>
          <w:p>
            <w:pPr>
              <w:spacing w:after="0"/>
              <w:rPr>
                <w:sz w:val="5"/>
                <w:szCs w:val="5"/>
                <w:color w:val="auto"/>
              </w:rPr>
            </w:pPr>
          </w:p>
        </w:tc>
        <w:tc>
          <w:tcPr>
            <w:tcW w:w="10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80" w:type="dxa"/>
            <w:vAlign w:val="bottom"/>
            <w:gridSpan w:val="2"/>
          </w:tcPr>
          <w:p>
            <w:pPr>
              <w:spacing w:after="0"/>
              <w:rPr>
                <w:sz w:val="6"/>
                <w:szCs w:val="6"/>
                <w:color w:val="auto"/>
              </w:rPr>
            </w:pPr>
          </w:p>
        </w:tc>
        <w:tc>
          <w:tcPr>
            <w:tcW w:w="10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line="149"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2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4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color w:val="0000FF"/>
              </w:rPr>
              <w:t>06/18/2026</w:t>
            </w:r>
          </w:p>
        </w:tc>
        <w:tc>
          <w:tcPr>
            <w:tcW w:w="1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210 EAST GRAND AVENUE</w:t>
            </w:r>
          </w:p>
        </w:tc>
        <w:tc>
          <w:tcPr>
            <w:tcW w:w="1220" w:type="dxa"/>
            <w:vAlign w:val="bottom"/>
          </w:tcPr>
          <w:p>
            <w:pPr>
              <w:spacing w:after="0"/>
              <w:rPr>
                <w:sz w:val="10"/>
                <w:szCs w:val="10"/>
                <w:color w:val="auto"/>
              </w:rPr>
            </w:pPr>
          </w:p>
        </w:tc>
        <w:tc>
          <w:tcPr>
            <w:tcW w:w="2400" w:type="dxa"/>
            <w:vAlign w:val="bottom"/>
            <w:gridSpan w:val="3"/>
            <w:vMerge w:val="continue"/>
          </w:tcPr>
          <w:p>
            <w:pPr>
              <w:spacing w:after="0"/>
              <w:rPr>
                <w:sz w:val="10"/>
                <w:szCs w:val="10"/>
                <w:color w:val="auto"/>
              </w:rPr>
            </w:pPr>
          </w:p>
        </w:tc>
        <w:tc>
          <w:tcPr>
            <w:tcW w:w="1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tcPr>
          <w:p>
            <w:pPr>
              <w:spacing w:after="0"/>
              <w:rPr>
                <w:sz w:val="11"/>
                <w:szCs w:val="11"/>
                <w:color w:val="auto"/>
              </w:rPr>
            </w:pPr>
          </w:p>
        </w:tc>
        <w:tc>
          <w:tcPr>
            <w:tcW w:w="3280" w:type="dxa"/>
            <w:vAlign w:val="bottom"/>
            <w:tcBorders>
              <w:bottom w:val="single" w:sz="8" w:color="2C2C2C"/>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2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4"/>
        </w:trPr>
        <w:tc>
          <w:tcPr>
            <w:tcW w:w="84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40" w:type="dxa"/>
            <w:vAlign w:val="bottom"/>
            <w:gridSpan w:val="3"/>
            <w:vMerge w:val="continue"/>
          </w:tcPr>
          <w:p>
            <w:pPr>
              <w:spacing w:after="0"/>
              <w:rPr>
                <w:sz w:val="9"/>
                <w:szCs w:val="9"/>
                <w:color w:val="auto"/>
              </w:rPr>
            </w:pPr>
          </w:p>
        </w:tc>
        <w:tc>
          <w:tcPr>
            <w:tcW w:w="3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84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20" w:type="dxa"/>
            <w:vAlign w:val="bottom"/>
          </w:tcPr>
          <w:p>
            <w:pPr>
              <w:ind w:left="60"/>
              <w:spacing w:after="0"/>
              <w:rPr>
                <w:sz w:val="20"/>
                <w:szCs w:val="20"/>
                <w:color w:val="auto"/>
              </w:rPr>
            </w:pPr>
            <w:r>
              <w:rPr>
                <w:rFonts w:ascii="Arial" w:cs="Arial" w:eastAsia="Arial" w:hAnsi="Arial"/>
                <w:sz w:val="13"/>
                <w:szCs w:val="13"/>
                <w:color w:val="auto"/>
              </w:rPr>
              <w:t>Line)</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6" w:right="359" w:bottom="1440" w:gutter="0" w:footer="0" w:header="0"/>
          <w:type w:val="continuous"/>
        </w:sectPr>
      </w:pPr>
    </w:p>
    <w:tbl>
      <w:tblPr>
        <w:tblLayout w:type="fixed"/>
        <w:tblInd w:w="100" w:type="dxa"/>
        <w:tblCellMar>
          <w:top w:w="0" w:type="dxa"/>
          <w:left w:w="0" w:type="dxa"/>
          <w:bottom w:w="0" w:type="dxa"/>
          <w:right w:w="0" w:type="dxa"/>
        </w:tblCellMar>
      </w:tblPr>
      <w:tr>
        <w:trPr>
          <w:trHeight w:val="188"/>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SOUTH SAN</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94080</w:t>
            </w:r>
          </w:p>
        </w:tc>
        <w:tc>
          <w:tcPr>
            <w:tcW w:w="0" w:type="dxa"/>
            <w:vAlign w:val="bottom"/>
          </w:tcPr>
          <w:p>
            <w:pPr>
              <w:spacing w:after="0"/>
              <w:rPr>
                <w:sz w:val="1"/>
                <w:szCs w:val="1"/>
                <w:color w:val="auto"/>
              </w:rPr>
            </w:pPr>
          </w:p>
        </w:tc>
      </w:tr>
      <w:tr>
        <w:trPr>
          <w:trHeight w:val="113"/>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96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8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2"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1"/>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40" w:type="dxa"/>
            <w:vAlign w:val="bottom"/>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06/18/2026</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47,700</w:t>
            </w:r>
          </w:p>
        </w:tc>
        <w:tc>
          <w:tcPr>
            <w:tcW w:w="6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2"/>
                <w:szCs w:val="22"/>
                <w:color w:val="auto"/>
              </w:rPr>
            </w:pP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0000FF"/>
              </w:rPr>
              <w:t>398,463</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06/18/2026</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jc w:val="center"/>
              <w:ind w:right="321"/>
              <w:spacing w:after="0"/>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47,700</w:t>
            </w:r>
          </w:p>
        </w:tc>
        <w:tc>
          <w:tcPr>
            <w:tcW w:w="780" w:type="dxa"/>
            <w:vAlign w:val="bottom"/>
            <w:gridSpan w:val="2"/>
          </w:tcPr>
          <w:p>
            <w:pPr>
              <w:jc w:val="right"/>
              <w:ind w:right="301"/>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center"/>
              <w:ind w:right="1"/>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47,700</w:t>
            </w:r>
          </w:p>
        </w:tc>
        <w:tc>
          <w:tcPr>
            <w:tcW w:w="40" w:type="dxa"/>
            <w:vAlign w:val="bottom"/>
          </w:tcPr>
          <w:p>
            <w:pPr>
              <w:spacing w:after="0"/>
              <w:rPr>
                <w:sz w:val="19"/>
                <w:szCs w:val="19"/>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9"/>
                <w:szCs w:val="19"/>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06/18/2026</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jc w:val="center"/>
              <w:ind w:right="321"/>
              <w:spacing w:after="0"/>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95,400</w:t>
            </w:r>
          </w:p>
        </w:tc>
        <w:tc>
          <w:tcPr>
            <w:tcW w:w="500" w:type="dxa"/>
            <w:vAlign w:val="bottom"/>
          </w:tcPr>
          <w:p>
            <w:pPr>
              <w:spacing w:after="0"/>
              <w:rPr>
                <w:sz w:val="19"/>
                <w:szCs w:val="19"/>
                <w:color w:val="auto"/>
              </w:rPr>
            </w:pPr>
          </w:p>
        </w:tc>
        <w:tc>
          <w:tcPr>
            <w:tcW w:w="780" w:type="dxa"/>
            <w:vAlign w:val="bottom"/>
            <w:gridSpan w:val="2"/>
          </w:tcPr>
          <w:p>
            <w:pPr>
              <w:jc w:val="right"/>
              <w:ind w:right="301"/>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center"/>
              <w:ind w:right="1"/>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95,400</w:t>
            </w:r>
          </w:p>
        </w:tc>
        <w:tc>
          <w:tcPr>
            <w:tcW w:w="40" w:type="dxa"/>
            <w:vAlign w:val="bottom"/>
          </w:tcPr>
          <w:p>
            <w:pPr>
              <w:spacing w:after="0"/>
              <w:rPr>
                <w:sz w:val="19"/>
                <w:szCs w:val="19"/>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rPr>
                <w:sz w:val="20"/>
                <w:szCs w:val="20"/>
                <w:color w:val="auto"/>
              </w:rPr>
            </w:pPr>
            <w:r>
              <w:rPr>
                <w:rFonts w:ascii="Times New Roman" w:cs="Times New Roman" w:eastAsia="Times New Roman" w:hAnsi="Times New Roman"/>
                <w:sz w:val="13"/>
                <w:szCs w:val="13"/>
                <w:color w:val="0000FF"/>
              </w:rPr>
              <w:t>95,400</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-1986280</wp:posOffset>
            </wp:positionV>
            <wp:extent cx="28575" cy="19913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913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either one share of common stock of the Issuer or cash in lieu thereof, at the Issuer's discretion, in accordance with the terms of the 2018 Plan.</w:t>
      </w:r>
    </w:p>
    <w:p>
      <w:pPr>
        <w:spacing w:after="0" w:line="40" w:lineRule="exact"/>
        <w:rPr>
          <w:rFonts w:ascii="Times New Roman" w:cs="Times New Roman" w:eastAsia="Times New Roman" w:hAnsi="Times New Roman"/>
          <w:sz w:val="13"/>
          <w:szCs w:val="13"/>
          <w:color w:val="008000"/>
        </w:rPr>
      </w:pPr>
    </w:p>
    <w:p>
      <w:pPr>
        <w:ind w:left="40" w:right="380"/>
        <w:spacing w:after="0" w:line="249"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Each RSU represents a contingent right to receive one share of the Companys Common Stock. The RSUs will vest in two successive equal semi-annual installments over the one-year period measured from the date of grant, subject to continued service through the vesting date.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/s/Earl Douglas,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06/23/2026</w:t>
            </w:r>
          </w:p>
        </w:tc>
        <w:tc>
          <w:tcPr>
            <w:tcW w:w="0" w:type="dxa"/>
            <w:vAlign w:val="bottom"/>
          </w:tcPr>
          <w:p>
            <w:pPr>
              <w:spacing w:after="0"/>
              <w:rPr>
                <w:sz w:val="1"/>
                <w:szCs w:val="1"/>
                <w:color w:val="auto"/>
              </w:rPr>
            </w:pPr>
          </w:p>
        </w:tc>
      </w:tr>
      <w:tr>
        <w:trPr>
          <w:trHeight w:val="87"/>
        </w:trPr>
        <w:tc>
          <w:tcPr>
            <w:tcW w:w="1920" w:type="dxa"/>
            <w:vAlign w:val="bottom"/>
            <w:tcBorders>
              <w:top w:val="single" w:sz="8" w:color="auto"/>
              <w:bottom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0000FF"/>
              </w:rPr>
              <w:t>Fact</w:t>
            </w:r>
          </w:p>
        </w:tc>
        <w:tc>
          <w:tcPr>
            <w:tcW w:w="28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2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1355" TargetMode="External"/><Relationship Id="rId14" Type="http://schemas.openxmlformats.org/officeDocument/2006/relationships/hyperlink" Target="http://www.sec.gov/cgi-bin/browse-edgar?action=getcompany&amp;CIK=00017372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2026-06-23T16:02:52Z</dcterms:created>
  <dcterms:modified xsi:type="dcterms:W3CDTF">2026-06-23T16:02:52Z</dcterms:modified>
</cp:coreProperties>
</file>