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Allogene Therapeutics,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562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420" w:type="dxa"/>
            <w:vAlign w:val="bottom"/>
          </w:tcPr>
          <w:p>
            <w:pPr>
              <w:spacing w:after="0"/>
              <w:rPr>
                <w:sz w:val="20"/>
                <w:szCs w:val="20"/>
                <w:color w:val="auto"/>
              </w:rPr>
            </w:pPr>
          </w:p>
        </w:tc>
      </w:tr>
      <w:tr>
        <w:trPr>
          <w:trHeight w:val="245"/>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20" w:type="dxa"/>
            <w:vAlign w:val="bottom"/>
          </w:tcPr>
          <w:p>
            <w:pPr>
              <w:jc w:val="right"/>
              <w:ind w:right="2419"/>
              <w:spacing w:after="0"/>
              <w:rPr>
                <w:sz w:val="20"/>
                <w:szCs w:val="20"/>
                <w:color w:val="auto"/>
              </w:rPr>
            </w:pPr>
            <w:r>
              <w:rPr>
                <w:rFonts w:ascii="Times New Roman" w:cs="Times New Roman" w:eastAsia="Times New Roman" w:hAnsi="Times New Roman"/>
                <w:sz w:val="18"/>
                <w:szCs w:val="18"/>
                <w:b w:val="1"/>
                <w:bCs w:val="1"/>
                <w:color w:val="auto"/>
              </w:rPr>
              <w:t>001-38693</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82-3562771</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1820" w:type="dxa"/>
            <w:vAlign w:val="bottom"/>
          </w:tcPr>
          <w:p>
            <w:pPr>
              <w:spacing w:after="0"/>
              <w:rPr>
                <w:sz w:val="24"/>
                <w:szCs w:val="24"/>
                <w:color w:val="auto"/>
              </w:rPr>
            </w:pPr>
          </w:p>
        </w:tc>
        <w:tc>
          <w:tcPr>
            <w:tcW w:w="5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 East Grand Avenue, South San Francisco, California 94080</w:t>
            </w:r>
          </w:p>
        </w:tc>
        <w:tc>
          <w:tcPr>
            <w:tcW w:w="142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420" w:type="dxa"/>
            <w:vAlign w:val="bottom"/>
          </w:tcPr>
          <w:p>
            <w:pPr>
              <w:spacing w:after="0"/>
              <w:rPr>
                <w:sz w:val="18"/>
                <w:szCs w:val="18"/>
                <w:color w:val="auto"/>
              </w:rPr>
            </w:pPr>
          </w:p>
        </w:tc>
      </w:tr>
      <w:tr>
        <w:trPr>
          <w:trHeight w:val="292"/>
        </w:trPr>
        <w:tc>
          <w:tcPr>
            <w:tcW w:w="1820" w:type="dxa"/>
            <w:vAlign w:val="bottom"/>
          </w:tcPr>
          <w:p>
            <w:pPr>
              <w:spacing w:after="0"/>
              <w:rPr>
                <w:sz w:val="24"/>
                <w:szCs w:val="24"/>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457-2700</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284"/>
        </w:trPr>
        <w:tc>
          <w:tcPr>
            <w:tcW w:w="1820" w:type="dxa"/>
            <w:vAlign w:val="bottom"/>
          </w:tcPr>
          <w:p>
            <w:pPr>
              <w:spacing w:after="0"/>
              <w:rPr>
                <w:sz w:val="24"/>
                <w:szCs w:val="24"/>
                <w:color w:val="auto"/>
              </w:rPr>
            </w:pPr>
          </w:p>
        </w:tc>
        <w:tc>
          <w:tcPr>
            <w:tcW w:w="5620" w:type="dxa"/>
            <w:vAlign w:val="bottom"/>
          </w:tcPr>
          <w:p>
            <w:pPr>
              <w:jc w:val="right"/>
              <w:ind w:right="1639"/>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tc>
        <w:tc>
          <w:tcPr>
            <w:tcW w:w="1420" w:type="dxa"/>
            <w:vAlign w:val="bottom"/>
          </w:tcPr>
          <w:p>
            <w:pPr>
              <w:spacing w:after="0"/>
              <w:rPr>
                <w:sz w:val="24"/>
                <w:szCs w:val="24"/>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ALLO</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8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June 18, 2026, Allogene Therapeutics, Inc. (the "Company") held its 2026 Annual Meeting of Stockholders (the "Annual Meeting"). At the Annual Meeting, the stockholders of the Company voted on five proposals, each of which is described in more detail in the Company’s definitive proxy statement on Schedule 14A, filed with the Securities and Exchange Commission on April 30, 2026 (the "Proxy Statement"). As of April 20, 2026, the record date for the Annual Meeting, 345,024,351 shares of common stock were outstanding and entitled to vote at the Annual Meeting. A summary of the matters voted upon by stockholders at the Annual Meeting is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elected the three persons listed below as Class II Directors, each to serve until the Company’s 2029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until their respective successors are duly elected and qualified. The final voting results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7"/>
                <w:szCs w:val="17"/>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Messemer</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202,325,767</w:t>
            </w:r>
          </w:p>
        </w:tc>
        <w:tc>
          <w:tcPr>
            <w:tcW w:w="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26,099,641</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54,299,010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Vicki Sato, Ph.D.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202,326,299</w:t>
            </w:r>
          </w:p>
        </w:tc>
        <w:tc>
          <w:tcPr>
            <w:tcW w:w="2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26,099,109</w:t>
            </w:r>
          </w:p>
        </w:tc>
        <w:tc>
          <w:tcPr>
            <w:tcW w:w="2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54,299,010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Owen Witte, M.D.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189,310,484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39,114,924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54,299,010</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Approval, on an Advisory Basis, of the Compensation of the Company's Named Executive Officers</w:t>
      </w:r>
    </w:p>
    <w:p>
      <w:pPr>
        <w:spacing w:after="0" w:line="2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as disclosed in the Proxy Statement. The final voting results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48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0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8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2480" w:type="dxa"/>
            <w:vAlign w:val="bottom"/>
            <w:gridSpan w:val="2"/>
            <w:vMerge w:val="continue"/>
          </w:tcPr>
          <w:p>
            <w:pPr>
              <w:spacing w:after="0"/>
              <w:rPr>
                <w:sz w:val="20"/>
                <w:szCs w:val="20"/>
                <w:color w:val="auto"/>
              </w:rPr>
            </w:pPr>
          </w:p>
        </w:tc>
        <w:tc>
          <w:tcPr>
            <w:tcW w:w="2500" w:type="dxa"/>
            <w:vAlign w:val="bottom"/>
            <w:gridSpan w:val="2"/>
            <w:vMerge w:val="continue"/>
          </w:tcPr>
          <w:p>
            <w:pPr>
              <w:spacing w:after="0"/>
              <w:rPr>
                <w:sz w:val="20"/>
                <w:szCs w:val="20"/>
                <w:color w:val="auto"/>
              </w:rPr>
            </w:pPr>
          </w:p>
        </w:tc>
        <w:tc>
          <w:tcPr>
            <w:tcW w:w="2480" w:type="dxa"/>
            <w:vAlign w:val="bottom"/>
            <w:gridSpan w:val="2"/>
            <w:vMerge w:val="continue"/>
          </w:tcPr>
          <w:p>
            <w:pPr>
              <w:spacing w:after="0"/>
              <w:rPr>
                <w:sz w:val="20"/>
                <w:szCs w:val="20"/>
                <w:color w:val="auto"/>
              </w:rPr>
            </w:pPr>
          </w:p>
        </w:tc>
        <w:tc>
          <w:tcPr>
            <w:tcW w:w="25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23"/>
        </w:trPr>
        <w:tc>
          <w:tcPr>
            <w:tcW w:w="1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213,098,167</w:t>
            </w:r>
          </w:p>
        </w:tc>
        <w:tc>
          <w:tcPr>
            <w:tcW w:w="1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11,951,256</w:t>
            </w:r>
          </w:p>
        </w:tc>
        <w:tc>
          <w:tcPr>
            <w:tcW w:w="1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3,375,985</w:t>
            </w:r>
          </w:p>
        </w:tc>
        <w:tc>
          <w:tcPr>
            <w:tcW w:w="1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54,299,010</w:t>
            </w:r>
          </w:p>
        </w:tc>
        <w:tc>
          <w:tcPr>
            <w:tcW w:w="12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Approval, on an Advisory Basis, Say-On-Pay Vote Frequency</w:t>
      </w:r>
    </w:p>
    <w:p>
      <w:pPr>
        <w:spacing w:after="0" w:line="241"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preferred frequency of stockholder advisory votes on the compensation of the Company's named executive officers. The final voting results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18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8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9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8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25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23"/>
        </w:trPr>
        <w:tc>
          <w:tcPr>
            <w:tcW w:w="1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224,054,368</w:t>
            </w:r>
          </w:p>
        </w:tc>
        <w:tc>
          <w:tcPr>
            <w:tcW w:w="6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228,313</w:t>
            </w:r>
          </w:p>
        </w:tc>
        <w:tc>
          <w:tcPr>
            <w:tcW w:w="6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757,992</w:t>
            </w:r>
          </w:p>
        </w:tc>
        <w:tc>
          <w:tcPr>
            <w:tcW w:w="6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3,384,735</w:t>
            </w:r>
          </w:p>
        </w:tc>
        <w:tc>
          <w:tcPr>
            <w:tcW w:w="6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54,299,010</w:t>
            </w:r>
          </w:p>
        </w:tc>
        <w:tc>
          <w:tcPr>
            <w:tcW w:w="12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light of and consistent with the votes cast with respect to such proposal, the Board of Directors of the Company (the “Board”) has determined to hold future say-on-pay votes every year until the next required non-binding advisory vote on the frequency of future say-on-pay votes, which will be held no later than the 2032 Annual Meeting of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Amendment to Amended and Restated Certificate of Incorporation To Increase the Number of Authorized Shares</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an amendment (the "Amendment") to the Company's Amended and Restated Certificate of Incorporation, as amended, to increase the number of authorized shares of common stock from 400,000,000 shares to 800,000,000. The final voting results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248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0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8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5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23"/>
        </w:trPr>
        <w:tc>
          <w:tcPr>
            <w:tcW w:w="1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221,767,995</w:t>
            </w:r>
          </w:p>
        </w:tc>
        <w:tc>
          <w:tcPr>
            <w:tcW w:w="1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6,535,254</w:t>
            </w:r>
          </w:p>
        </w:tc>
        <w:tc>
          <w:tcPr>
            <w:tcW w:w="1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122,159</w:t>
            </w:r>
          </w:p>
        </w:tc>
        <w:tc>
          <w:tcPr>
            <w:tcW w:w="1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54,299,010</w:t>
            </w:r>
          </w:p>
        </w:tc>
        <w:tc>
          <w:tcPr>
            <w:tcW w:w="12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Amendment was filed with the Secretary of State of the State of Delaware on June 18, 2026 and effective as of such date. A copy of the Amendment is filed as Exhibit 3.1 to this Current Report on Form 8-K.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5. Ratification of the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Ernst &amp; Young LLP as the Company’s independent registered public accounting firm for the fiscal year ending December 31, 2026. The final voting results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48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0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8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0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5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23"/>
        </w:trPr>
        <w:tc>
          <w:tcPr>
            <w:tcW w:w="1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282,022,884</w:t>
            </w:r>
          </w:p>
        </w:tc>
        <w:tc>
          <w:tcPr>
            <w:tcW w:w="1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503,156</w:t>
            </w:r>
          </w:p>
        </w:tc>
        <w:tc>
          <w:tcPr>
            <w:tcW w:w="12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198,378</w:t>
            </w:r>
          </w:p>
        </w:tc>
        <w:tc>
          <w:tcPr>
            <w:tcW w:w="1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22, 2026, the Company filed a prospectus supplement (the "Prospectus Supplement") with the Securities and Exchange Commission relating to sales of shares of its common stock having an aggregate offering price of up to $135.0 million to be sold pursuant to a certain Sales Agreement, dated November 5, 2019, as amended on November 2, 2022 and November 2, 2023 (as amended, the "Sales Agreement"), by and between the Company and TD Securities (U.S.A.) LLC (f/k/a Cowen and Company, LLC).</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legal opinion as to the legality of the shares issuable under the Sales Agreement and covered by the Prospectus Supplement is filed as Exhibit 5.1 to this Current Report on Form 8-K.</w:t>
      </w:r>
    </w:p>
    <w:p>
      <w:pPr>
        <w:spacing w:after="0" w:line="3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bl>
      <w:tblPr>
        <w:tblLayout w:type="fixed"/>
        <w:tblInd w:w="0" w:type="dxa"/>
        <w:tblCellMar>
          <w:top w:w="0" w:type="dxa"/>
          <w:left w:w="0" w:type="dxa"/>
          <w:bottom w:w="0" w:type="dxa"/>
          <w:right w:w="0" w:type="dxa"/>
        </w:tblCellMar>
      </w:tblPr>
      <w:tr>
        <w:trPr>
          <w:trHeight w:val="228"/>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2"/>
        </w:trPr>
        <w:tc>
          <w:tcPr>
            <w:tcW w:w="15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20" w:type="dxa"/>
            <w:vAlign w:val="bottom"/>
            <w:tcBorders>
              <w:top w:val="single" w:sz="8" w:color="auto"/>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Certificate of Amendment to Amended and Restated Certificate of Incorporation of the Company, effective June 18, 2026.</w:t>
            </w: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Opinion of Cooley LLP</w:t>
            </w:r>
          </w:p>
        </w:tc>
        <w:tc>
          <w:tcPr>
            <w:tcW w:w="7820" w:type="dxa"/>
            <w:vAlign w:val="bottom"/>
            <w:gridSpan w:val="4"/>
          </w:tcPr>
          <w:p>
            <w:pPr>
              <w:spacing w:after="0"/>
              <w:rPr>
                <w:sz w:val="18"/>
                <w:szCs w:val="18"/>
                <w:color w:val="auto"/>
              </w:rPr>
            </w:pPr>
          </w:p>
        </w:tc>
      </w:tr>
      <w:tr>
        <w:trPr>
          <w:trHeight w:val="21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Consent of Cooley LLP (included in Exhibit 5.1)</w:t>
            </w: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of this report has been formatted in Inline XBRL.</w:t>
            </w:r>
          </w:p>
        </w:tc>
      </w:tr>
      <w:tr>
        <w:trPr>
          <w:trHeight w:val="1222"/>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297" w:lineRule="exact"/>
        <w:rPr>
          <w:sz w:val="20"/>
          <w:szCs w:val="20"/>
          <w:color w:val="auto"/>
        </w:rPr>
      </w:pPr>
    </w:p>
    <w:p>
      <w:pPr>
        <w:ind w:left="654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691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David Chang, M.D., Ph.D.</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22, 2026</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ALLOGENE THERAPEUTICS, INC.</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ALLOGENE THERAPEUTICS, INC.</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Delaware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does hereby certify:</w:t>
      </w:r>
    </w:p>
    <w:p>
      <w:pPr>
        <w:spacing w:after="0" w:line="230"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Company is Allogene Therapeutics, Inc. and the date of filing of the Company’s original Certificate of Incorporation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was November 30, 2017.</w:t>
      </w:r>
    </w:p>
    <w:p>
      <w:pPr>
        <w:spacing w:after="0" w:line="182"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Company, acting in accordance with the provisions of Sections 141 and 242 of the General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adopted resolutions amending its Amended and Restated Certificate of Incorporation (the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as follows: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Paragraph A of Article IV of the Restated Certificate is hereby amended and restated to read in its entirety as follows:</w:t>
      </w:r>
    </w:p>
    <w:p>
      <w:pPr>
        <w:spacing w:after="0" w:line="248"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which the Company is authorized to issue is 810,000,000 shares. 800,000,000 shares shall be Common Stock, each having a par value of $0.001. 10,000,000 shares shall be Preferred Stock, each having a par value of $0.001.”</w:t>
      </w:r>
    </w:p>
    <w:p>
      <w:pPr>
        <w:spacing w:after="0" w:line="198"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This Certificate of Amendment has been duly adopted and approved by the stockholders of the Company in accordance with Sections 211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242 of the DGCL.</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Certificate of Amendment shall become effective upon filing with the Secretary of State of the State of Delaware.</w:t>
      </w:r>
    </w:p>
    <w:p>
      <w:pPr>
        <w:spacing w:after="0" w:line="31" w:lineRule="exact"/>
        <w:rPr>
          <w:sz w:val="20"/>
          <w:szCs w:val="20"/>
          <w:color w:val="auto"/>
        </w:rPr>
      </w:pPr>
    </w:p>
    <w:p>
      <w:pPr>
        <w:ind w:right="20" w:firstLine="441"/>
        <w:spacing w:after="0" w:line="26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Allogene Therapeutics, Inc. has caused this Certificate of Amendment to be signed by its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on June 18, 2026.</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283" w:lineRule="exact"/>
        <w:rPr>
          <w:sz w:val="20"/>
          <w:szCs w:val="20"/>
          <w:color w:val="auto"/>
        </w:rPr>
      </w:pPr>
    </w:p>
    <w:p>
      <w:pPr>
        <w:jc w:val="center"/>
        <w:ind w:left="2000"/>
        <w:spacing w:after="0"/>
        <w:tabs>
          <w:tab w:leader="none" w:pos="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2"/>
          <w:szCs w:val="22"/>
          <w:i w:val="1"/>
          <w:iCs w:val="1"/>
          <w:color w:val="auto"/>
        </w:rPr>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22225</wp:posOffset>
            </wp:positionV>
            <wp:extent cx="2665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David Chang, M.D., Ph.D.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122" w:right="339" w:bottom="1440" w:gutter="0" w:footer="0" w:header="0"/>
        </w:sectPr>
      </w:pPr>
    </w:p>
    <w:bookmarkStart w:id="5" w:name="page6"/>
    <w:bookmarkEnd w:id="5"/>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1658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Asa M. Henin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+1 858 550 6104</w:t>
      </w:r>
    </w:p>
    <w:p>
      <w:pPr>
        <w:ind w:left="80"/>
        <w:spacing w:after="0"/>
        <w:rPr>
          <w:sz w:val="20"/>
          <w:szCs w:val="20"/>
          <w:color w:val="auto"/>
        </w:rPr>
      </w:pPr>
      <w:r>
        <w:rPr>
          <w:rFonts w:ascii="Arial" w:cs="Arial" w:eastAsia="Arial" w:hAnsi="Arial"/>
          <w:sz w:val="18"/>
          <w:szCs w:val="18"/>
          <w:color w:val="auto"/>
        </w:rPr>
        <w:t>ahenin@cooley.com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June 22,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Allogene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210 East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acted as counsel to Allogene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offering by the Company shares of its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having an aggregate offering price of up to $135,000,000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a Registration Statement on Form S-3 (File No. 333-277951)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base prospectus included in the Registration Statement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the prospectus supplement with respect to the Shares, dated June 22, 2026, filed with the Commission pursuant to Rule 424(b) under the Securities Act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The Shares are to be sold by the Company under that certain Sales Agreement, dated November 5, 2019, as amended by Amendment No. 1 to the Sales Agreement, dated November 2, 2022, and by Amendment No. 2 to the Sales Agreement, dated November 2, 2023, between the Company and TD Securities (USA) LLC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this opinion, we have examined and relied upon (a) the Registration Statement and the Prospectus, (b) the Agreement, (c)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(ii) that no more than 67,500,000 Shares will be sold under the Agreement pursuant to the Prospectus and (iii) that the price at which the Shares are sold will equal or exceed the par value per share of the Common Stock.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available for issuance by the Company.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10265 Science Center Drive San Diego, CA 92121-1117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+1 858 550 6000 f: +1 858 550-6420 cooley.com</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106045</wp:posOffset>
            </wp:positionV>
            <wp:extent cx="116586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color w:val="auto"/>
        </w:rPr>
        <w:t>Allogene Therapeutics, Inc.</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0"/>
          <w:szCs w:val="20"/>
          <w:color w:val="auto"/>
        </w:rPr>
        <w:t>June 22, 2026</w:t>
      </w:r>
    </w:p>
    <w:p>
      <w:pPr>
        <w:ind w:left="80"/>
        <w:spacing w:after="0"/>
        <w:rPr>
          <w:sz w:val="20"/>
          <w:szCs w:val="20"/>
          <w:color w:val="auto"/>
        </w:rPr>
      </w:pPr>
      <w:r>
        <w:rPr>
          <w:rFonts w:ascii="Arial" w:cs="Arial" w:eastAsia="Arial" w:hAnsi="Arial"/>
          <w:sz w:val="20"/>
          <w:szCs w:val="20"/>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basis of the foregoing, in reliance thereon and subject to the assumptions, qualifications, limitations and exceptions set forth herein, we are of the opinion that the Shares, when sold and issued against payment therefor in accordance with the Agreement, the Registration Statement and the Prospectus, will be validly issued, fully paid and nonassessable.</w:t>
      </w:r>
    </w:p>
    <w:p>
      <w:pPr>
        <w:spacing w:after="0" w:line="171"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387" w:lineRule="exact"/>
        <w:rPr>
          <w:sz w:val="20"/>
          <w:szCs w:val="20"/>
          <w:color w:val="auto"/>
        </w:rPr>
      </w:pPr>
    </w:p>
    <w:p>
      <w:pPr>
        <w:ind w:left="80"/>
        <w:spacing w:after="0"/>
        <w:tabs>
          <w:tab w:leader="none" w:pos="1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Asa M. Henin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34925</wp:posOffset>
            </wp:positionV>
            <wp:extent cx="1954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Asa M. Henin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Cooley LLP 10265 Science Center Drive San Diego, CA 92121-1117</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+1 858 550 6000 f: +1 858 550-6420 cooley.com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2026-06-22T15:13:07Z</dcterms:created>
  <dcterms:modified xsi:type="dcterms:W3CDTF">2026-06-22T15:13:07Z</dcterms:modified>
</cp:coreProperties>
</file>